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妖且闲-王磊栋-长沙大排档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录音主题：妖且闲-王磊栋-长沙大排档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19:28 - 19:44 （GMT+08）</w:t>
            </w:r>
          </w:p>
        </w:tc>
      </w:tr>
    </w:tbl>
    <w:p/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智能纪要由 AI 生成，可能不准确，请谨慎甄别后使用</w:t>
            </w:r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总结</w:t>
      </w:r>
      <w:bookmarkEnd w:id="0"/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57800" cy="32004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音频围绕长沙头部大排档品牌邀且贤的运营现状、现存问题、品牌升级及长期发展战略展开深度沟通，明确后续落地路径，内容如下：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品牌当前运营基本情况</w:t>
      </w:r>
    </w:p>
    <w:p>
      <w:pPr>
        <w:numPr>
          <w:numId w:val="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门店规模与增速</w:t>
      </w:r>
      <w:r>
        <w:rPr>
          <w:rFonts w:eastAsia="等线" w:ascii="Arial" w:cs="Arial" w:hAnsi="Arial"/>
          <w:sz w:val="22"/>
        </w:rPr>
        <w:t>：现有3家长沙本地门店，年增速保持1倍以上，单店回本周期最快3个月、平均6个月，经营效率处于行业较高水平。</w:t>
      </w:r>
    </w:p>
    <w:p>
      <w:pPr>
        <w:numPr>
          <w:numId w:val="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产品与盈利表现</w:t>
      </w:r>
      <w:r>
        <w:rPr>
          <w:rFonts w:eastAsia="等线" w:ascii="Arial" w:cs="Arial" w:hAnsi="Arial"/>
          <w:sz w:val="22"/>
        </w:rPr>
        <w:t>：核心拳头产品为罗氏虾，门店点单率达99%，客单价150-200元，纯利率稳定在15%-20%区间，用户口碑优异。</w:t>
      </w:r>
    </w:p>
    <w:p>
      <w:pPr>
        <w:numPr>
          <w:numId w:val="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品牌与创始人背景</w:t>
      </w:r>
      <w:r>
        <w:rPr>
          <w:rFonts w:eastAsia="等线" w:ascii="Arial" w:cs="Arial" w:hAnsi="Arial"/>
          <w:sz w:val="22"/>
        </w:rPr>
        <w:t>：创始人有11年餐饮从业经验，此前经营酒吧，2012年以5万元启动资金摆地摊起步，原品牌名含“马叉虫”因负面风险停用，现名主打湖湘脂粉气差异化路线。</w:t>
      </w:r>
    </w:p>
    <w:p>
      <w:pPr>
        <w:numPr>
          <w:numId w:val="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当前获客投入</w:t>
      </w:r>
      <w:r>
        <w:rPr>
          <w:rFonts w:eastAsia="等线" w:ascii="Arial" w:cs="Arial" w:hAnsi="Arial"/>
          <w:sz w:val="22"/>
        </w:rPr>
        <w:t>：月均线上投流费用约20-40万元，虽有一定获客效果，但未充分利用门店原生媒体价值，投流效率存在较大优化空间。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现存核心问题梳理</w:t>
      </w:r>
    </w:p>
    <w:tbl>
      <w:tblPr>
        <w:tblW w:w="0" w:type="auto"/>
        <w:tblInd w:w="453" w:type="dxa"/>
        <w:tblBorders>
          <w:top w:val="none" w:space="4"/>
          <w:left w:val="none" w:space="4"/>
          <w:bottom w:val="none" w:space="4"/>
          <w:right w:val="none" w:space="4"/>
          <w:insideH w:val="none" w:space="4"/>
          <w:insideV w:val="none" w:space="4"/>
        </w:tblBorders>
        <w:tblLayout w:type="fixed"/>
      </w:tblPr>
      <w:tblGrid>
        <w:gridCol w:w="4554"/>
        <w:gridCol w:w="3726"/>
      </w:tblGrid>
      <w:tr>
        <w:tc>
          <w:tcPr>
            <w:tcW w:w="4554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numPr>
                <w:numId w:val="7"/>
              </w:num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品牌传播层面问题</w:t>
            </w:r>
          </w:p>
          <w:p>
            <w:pPr>
              <w:numPr>
                <w:numId w:val="8"/>
              </w:numPr>
              <w:spacing w:before="120" w:after="120" w:line="288" w:lineRule="auto"/>
              <w:ind w:left="453"/>
              <w:jc w:val="left"/>
            </w:pPr>
            <w:r>
              <w:rPr>
                <w:rFonts w:eastAsia="等线" w:ascii="Arial" w:cs="Arial" w:hAnsi="Arial"/>
                <w:sz w:val="22"/>
              </w:rPr>
              <w:t>命名传播成本高：“邀且贤”文化属性较强，普通消费者认知门槛高，普遍存在“认可口味但无法准确说出品牌名”的传播断层问题。</w:t>
            </w:r>
          </w:p>
          <w:p>
            <w:pPr>
              <w:numPr>
                <w:numId w:val="9"/>
              </w:numPr>
              <w:spacing w:before="120" w:after="120" w:line="288" w:lineRule="auto"/>
              <w:ind w:left="453"/>
              <w:jc w:val="left"/>
            </w:pPr>
            <w:r>
              <w:rPr>
                <w:rFonts w:eastAsia="等线" w:ascii="Arial" w:cs="Arial" w:hAnsi="Arial"/>
                <w:sz w:val="22"/>
              </w:rPr>
              <w:t>门店物料信息不足：门头及门店宣传物料信息密度低，未充分传递核心品类定位，进一步拉高了用户认知与品牌传播的综合成本。</w:t>
            </w:r>
          </w:p>
        </w:tc>
        <w:tc>
          <w:tcPr>
            <w:tcW w:w="3726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R="0" distB="0" distL="0">
                  <wp:extent cx="2209800" cy="723900"/>
                  <wp:docPr id="1" name="Drawing 1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color w:val="8F959E"/>
                <w:sz w:val="22"/>
              </w:rPr>
              <w:t>邀且贤现存核心问题拆解</w:t>
              <w:br/>
            </w:r>
          </w:p>
        </w:tc>
      </w:tr>
    </w:tbl>
    <w:p>
      <w:pPr>
        <w:numPr>
          <w:numId w:val="1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内部运营层面问题</w:t>
      </w:r>
    </w:p>
    <w:p>
      <w:pPr>
        <w:numPr>
          <w:numId w:val="11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标准化体系缺失：无统一绩效考核、员工培训、巡店巡台的标准流程，当前仍为非标准化的“土法管理”模式，运营规范性不足。</w:t>
      </w:r>
    </w:p>
    <w:p>
      <w:pPr>
        <w:numPr>
          <w:numId w:val="12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扩张能力受制约：虽具备每年新开1-2家门店的产品与口碑基础，但因运营体系不完善，不敢贸然扩张，发展节奏被短板制约。</w:t>
      </w:r>
    </w:p>
    <w:p>
      <w:pPr>
        <w:numPr>
          <w:numId w:val="1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潜在市场风险</w:t>
      </w:r>
      <w:r>
        <w:rPr>
          <w:rFonts w:eastAsia="等线" w:ascii="Arial" w:cs="Arial" w:hAnsi="Arial"/>
          <w:sz w:val="22"/>
        </w:rPr>
        <w:t>：当前罗氏虾差异化赛道尚未形成垄断格局，若未快速抢占用户心智，易被竞品模仿跟进，抢占现有市场份额。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品牌升级核心方向</w:t>
      </w:r>
    </w:p>
    <w:p>
      <w:pPr>
        <w:numPr>
          <w:numId w:val="1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符号与物料优化</w:t>
      </w:r>
    </w:p>
    <w:p>
      <w:pPr>
        <w:numPr>
          <w:numId w:val="16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超级符号搭建：不调整现有品牌名，通过打造专属超级符号降低记忆门槛，参考大众对“绿格子酱油”的符号记忆逻辑替代品牌名记忆点。</w:t>
      </w:r>
    </w:p>
    <w:p>
      <w:pPr>
        <w:numPr>
          <w:numId w:val="17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门店信息升级：提升门头、海报等原生媒体的信息密度，强化“长沙罗氏虾开创者”的品类定位，直接降低用户的品牌解释成本。</w:t>
      </w:r>
    </w:p>
    <w:p>
      <w:pPr>
        <w:numPr>
          <w:numId w:val="1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传播内容优化</w:t>
      </w:r>
      <w:r>
        <w:rPr>
          <w:rFonts w:eastAsia="等线" w:ascii="Arial" w:cs="Arial" w:hAnsi="Arial"/>
          <w:sz w:val="22"/>
        </w:rPr>
        <w:t>：摒弃原有文绉绉的品牌slogan，打造具备强穿透性的口语化进店理由，所有传播内容核心绑定罗氏虾大单品认知。</w:t>
      </w:r>
    </w:p>
    <w:p>
      <w:pPr>
        <w:numPr>
          <w:numId w:val="1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店型标准化打造</w:t>
      </w:r>
      <w:r>
        <w:rPr>
          <w:rFonts w:eastAsia="等线" w:ascii="Arial" w:cs="Arial" w:hAnsi="Arial"/>
          <w:sz w:val="22"/>
        </w:rPr>
        <w:t>：输出标准化超级店型，同步优化菜单产品结构，围绕招牌罗氏虾设计合理的点单逻辑，进一步提升坪效与回本效率。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后续落地安排</w:t>
      </w:r>
    </w:p>
    <w:p>
      <w:pPr>
        <w:numPr>
          <w:numId w:val="2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内部运营落地</w:t>
      </w:r>
      <w:r>
        <w:rPr>
          <w:rFonts w:eastAsia="等线" w:ascii="Arial" w:cs="Arial" w:hAnsi="Arial"/>
          <w:sz w:val="22"/>
        </w:rPr>
        <w:t>：已对接第三方机构开展为期3个月的运营陪跑，优先完成绩效考核、员工培训、巡店巡台等标准化体系搭建，补全内功短板。</w:t>
      </w:r>
    </w:p>
    <w:p>
      <w:pPr>
        <w:numPr>
          <w:numId w:val="2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品牌项目推进</w:t>
      </w:r>
    </w:p>
    <w:p>
      <w:pPr>
        <w:numPr>
          <w:numId w:val="23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方案班参与安排：王磊栋将结合自身时间安排，确定参与10月份或下一期的四天方案班，带队完成品牌战略与创意的核心输出。</w:t>
      </w:r>
    </w:p>
    <w:p>
      <w:pPr>
        <w:numPr>
          <w:numId w:val="24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后续陪跑规划：方案班输出核心方案后，以半年左右周期陪跑打磨现有门店，落地超级符号、店型标准化等内容，为后续扩张做准备。</w:t>
      </w:r>
    </w:p>
    <w:p>
      <w:pPr>
        <w:spacing w:before="120" w:after="120" w:line="288" w:lineRule="auto"/>
        <w:ind w:left="453"/>
        <w:jc w:val="center"/>
      </w:pPr>
      <w:r>
        <w:drawing>
          <wp:inline distT="0" distR="0" distB="0" distL="0">
            <wp:extent cx="5257800" cy="1228725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453"/>
        <w:jc w:val="center"/>
      </w:pPr>
      <w:r>
        <w:rPr>
          <w:rFonts w:eastAsia="等线" w:ascii="Arial" w:cs="Arial" w:hAnsi="Arial"/>
          <w:color w:val="8F959E"/>
          <w:sz w:val="22"/>
        </w:rPr>
        <w:t>邀且贤后续落地推进 timeline</w:t>
        <w:br/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  <w:shd w:fill="dee0e3"/>
        </w:rPr>
        <w:t>[该类型的内容暂不支持下载]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  <w:shd w:fill="dee0e3"/>
        </w:rPr>
        <w:t>[该类型的内容暂不支持下载]</w:t>
      </w:r>
    </w:p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" w:id="1"/>
      <w:r>
        <w:rPr>
          <w:rFonts w:eastAsia="等线" w:ascii="Arial" w:cs="Arial" w:hAnsi="Arial"/>
          <w:b w:val="true"/>
          <w:sz w:val="36"/>
        </w:rPr>
        <w:t>待办</w:t>
      </w:r>
      <w:bookmarkEnd w:id="1"/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商标及评价整理：整理现有商标、线上消费者对品牌的评价，供后续与服务方共同判断品牌命名方案使用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b w:val="true"/>
          <w:sz w:val="22"/>
        </w:rPr>
        <w:t>@王磊栋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方案班选择：结合自身时间安排，确认参加 10 月份或下一期的四天方案班，以明确餐饮门店战略方向与创意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b w:val="true"/>
          <w:sz w:val="22"/>
        </w:rPr>
        <w:t>@王磊栋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  <w:shd w:fill="dee0e3"/>
        </w:rPr>
        <w:t>[该类型的内容暂不支持下载]</w:t>
      </w:r>
    </w:p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" w:id="2"/>
      <w:r>
        <w:rPr>
          <w:rFonts w:eastAsia="等线" w:ascii="Arial" w:cs="Arial" w:hAnsi="Arial"/>
          <w:b w:val="true"/>
          <w:sz w:val="36"/>
        </w:rPr>
        <w:t>智能章节</w:t>
      </w:r>
      <w:bookmarkEnd w:id="2"/>
    </w:p>
    <w:p>
      <w:pPr>
        <w:spacing w:before="120" w:after="120" w:line="288" w:lineRule="auto"/>
        <w:ind w:left="0"/>
        <w:jc w:val="left"/>
      </w:pPr>
      <w:hyperlink r:id="rId8">
        <w:r>
          <w:rPr>
            <w:rFonts w:eastAsia="等线" w:ascii="Arial" w:cs="Arial" w:hAnsi="Arial"/>
            <w:color w:val="3370ff"/>
            <w:sz w:val="22"/>
          </w:rPr>
          <w:t>00:00</w:t>
        </w:r>
      </w:hyperlink>
      <w:r>
        <w:rPr>
          <w:rFonts w:eastAsia="等线" w:ascii="Arial" w:cs="Arial" w:hAnsi="Arial"/>
          <w:b w:val="true"/>
          <w:sz w:val="22"/>
        </w:rPr>
        <w:t xml:space="preserve">  长沙三家邀且贤大排档经营情况交流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为长沙头部大排档从业者王磊栋介绍自身经营情况，其入行八年，现有三家门店，原用名马叉虫、邀且贤，因前者有风险现统一用源自曹植《美女篇》的邀且贤，目前门店客单价150-200，纯利达15%-20%，后续计划重点修内功、做品牌搭建，对话中双方还提及品牌名受众认知门槛、门店合规相关内容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9">
        <w:r>
          <w:rPr>
            <w:rFonts w:eastAsia="等线" w:ascii="Arial" w:cs="Arial" w:hAnsi="Arial"/>
            <w:color w:val="3370ff"/>
            <w:sz w:val="22"/>
          </w:rPr>
          <w:t>01:24</w:t>
        </w:r>
      </w:hyperlink>
      <w:r>
        <w:rPr>
          <w:rFonts w:eastAsia="等线" w:ascii="Arial" w:cs="Arial" w:hAnsi="Arial"/>
          <w:b w:val="true"/>
          <w:sz w:val="22"/>
        </w:rPr>
        <w:t xml:space="preserve">  长沙罗氏虾店差异化定位及招牌相关讨论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围绕相关餐饮品牌的产品规划与招牌设计展开，品牌避开长沙当地小龙虾赛道头部玩家的锋芒，走差异化路线，以罗氏虾作为核心拳头招牌产品切入小众市场，同时提及门店招牌按相关思路设计，配套的宣传文案虽因典故生僻易让消费者困惑，反而引发好奇带来自发传播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10">
        <w:r>
          <w:rPr>
            <w:rFonts w:eastAsia="等线" w:ascii="Arial" w:cs="Arial" w:hAnsi="Arial"/>
            <w:color w:val="3370ff"/>
            <w:sz w:val="22"/>
          </w:rPr>
          <w:t>02:52</w:t>
        </w:r>
      </w:hyperlink>
      <w:r>
        <w:rPr>
          <w:rFonts w:eastAsia="等线" w:ascii="Arial" w:cs="Arial" w:hAnsi="Arial"/>
          <w:b w:val="true"/>
          <w:sz w:val="22"/>
        </w:rPr>
        <w:t xml:space="preserve">  打造湘女多情湖湘文化差异化品牌思路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围绕店铺的差异化定位思路展开交流，王磊栋说明自身品牌主打嵌入湘女多情、娥皇女英等湖湘女性文化的脂粉气路线，和以关公为超级符号、主打工江湖义气烟火气的渠记形成明确差异，相关定位思路依托参考专业书籍打磨形成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11">
        <w:r>
          <w:rPr>
            <w:rFonts w:eastAsia="等线" w:ascii="Arial" w:cs="Arial" w:hAnsi="Arial"/>
            <w:color w:val="3370ff"/>
            <w:sz w:val="22"/>
          </w:rPr>
          <w:t>03:40</w:t>
        </w:r>
      </w:hyperlink>
      <w:r>
        <w:rPr>
          <w:rFonts w:eastAsia="等线" w:ascii="Arial" w:cs="Arial" w:hAnsi="Arial"/>
          <w:b w:val="true"/>
          <w:sz w:val="22"/>
        </w:rPr>
        <w:t xml:space="preserve">  餐饮从业者交流开店节奏与经营发展思路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为餐饮从业者王磊栋与他人的交流，王磊栋称自身烧烤品牌年增速超一倍但刻意压着开店，11年仅开3家，怕服务、出品跟不上，其核心大单品罗氏虾点单率达99%，单店回本周期最快3个月、通常6个月，交流对方认可其选品等优势，提及餐饮增长核心在开店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12">
        <w:r>
          <w:rPr>
            <w:rFonts w:eastAsia="等线" w:ascii="Arial" w:cs="Arial" w:hAnsi="Arial"/>
            <w:color w:val="3370ff"/>
            <w:sz w:val="22"/>
          </w:rPr>
          <w:t>05:47</w:t>
        </w:r>
      </w:hyperlink>
      <w:r>
        <w:rPr>
          <w:rFonts w:eastAsia="等线" w:ascii="Arial" w:cs="Arial" w:hAnsi="Arial"/>
          <w:b w:val="true"/>
          <w:sz w:val="22"/>
        </w:rPr>
        <w:t xml:space="preserve">  餐饮品牌借超级符号降低传播营销成本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围绕品牌传播相关问题展开交流，指出当前品牌名称解释成本高、消费者难识记的痛点，王磊栋提出自身高额投流的现状，探讨优化门头这类原媒体以节约投流成本的可行性，双方最终确定不改动现有品牌名，可借助超级符号降低营销传播成本，为后续拓店降本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13">
        <w:r>
          <w:rPr>
            <w:rFonts w:eastAsia="等线" w:ascii="Arial" w:cs="Arial" w:hAnsi="Arial"/>
            <w:color w:val="3370ff"/>
            <w:sz w:val="22"/>
          </w:rPr>
          <w:t>07:57</w:t>
        </w:r>
      </w:hyperlink>
      <w:r>
        <w:rPr>
          <w:rFonts w:eastAsia="等线" w:ascii="Arial" w:cs="Arial" w:hAnsi="Arial"/>
          <w:b w:val="true"/>
          <w:sz w:val="22"/>
        </w:rPr>
        <w:t xml:space="preserve">  指出门店宣传问题及罗氏虾品类抢占要点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围绕门店运营问题展开沟通，指出该门店未打出自身特色、门店展示信息太空缺，此前为追求所谓高端简约走了弯路。当前门店手握“长沙罗氏虾开创者”的优质定位，又恰逢经营创新风口，需快速抢占消费者心智，明确自身罗氏虾品类的头部身份，避免后续被跟风模仿者抢占盈利空间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14">
        <w:r>
          <w:rPr>
            <w:rFonts w:eastAsia="等线" w:ascii="Arial" w:cs="Arial" w:hAnsi="Arial"/>
            <w:color w:val="3370ff"/>
            <w:sz w:val="22"/>
          </w:rPr>
          <w:t>09:36</w:t>
        </w:r>
      </w:hyperlink>
      <w:r>
        <w:rPr>
          <w:rFonts w:eastAsia="等线" w:ascii="Arial" w:cs="Arial" w:hAnsi="Arial"/>
          <w:b w:val="true"/>
          <w:sz w:val="22"/>
        </w:rPr>
        <w:t xml:space="preserve">  探讨企业内部优化与品牌传播相关问题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中王磊栋提出当前有两项需推进的核心任务，一是补齐内部管理短板，当前绩效考核、员工关怀等工作缺乏标准，仍处于粗放的土法运营状态，二是做好对外品牌展现，其原本想用传播度高的“马叉虫”命名，但该名易引发低俗相关负面评价，在小红书等平台易滋生高赞负面内容，后续可通过符号优化现有命名，搭配内部管理优化共同推进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15">
        <w:r>
          <w:rPr>
            <w:rFonts w:eastAsia="等线" w:ascii="Arial" w:cs="Arial" w:hAnsi="Arial"/>
            <w:color w:val="3370ff"/>
            <w:sz w:val="22"/>
          </w:rPr>
          <w:t>11:09</w:t>
        </w:r>
      </w:hyperlink>
      <w:r>
        <w:rPr>
          <w:rFonts w:eastAsia="等线" w:ascii="Arial" w:cs="Arial" w:hAnsi="Arial"/>
          <w:b w:val="true"/>
          <w:sz w:val="22"/>
        </w:rPr>
        <w:t xml:space="preserve">  餐饮门店超级店型打造及品牌相关问题沟通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围绕半年陪跑打造可快速复制的超级餐饮门店展开，明确核心动作有打造高识别性的超级符号，设计围绕招牌罗氏虾的强穿透性口语化进店理由式品牌口号，优化适配招牌菜的菜单产品结构，将前三项内容落地到门头海报等传播载体，同时提及后续会结合商标情况、消费者评价谨慎研判品牌命名问题，最终目标是提升门店坪效、缩短回本周期，支撑后续拓店。</w:t>
            </w:r>
          </w:p>
        </w:tc>
      </w:tr>
    </w:tbl>
    <w:p>
      <w:pPr>
        <w:spacing w:before="120" w:after="120" w:line="288" w:lineRule="auto"/>
        <w:ind w:left="0"/>
        <w:jc w:val="left"/>
      </w:pPr>
      <w:hyperlink r:id="rId16">
        <w:r>
          <w:rPr>
            <w:rFonts w:eastAsia="等线" w:ascii="Arial" w:cs="Arial" w:hAnsi="Arial"/>
            <w:color w:val="3370ff"/>
            <w:sz w:val="22"/>
          </w:rPr>
          <w:t>13:40</w:t>
        </w:r>
      </w:hyperlink>
      <w:r>
        <w:rPr>
          <w:rFonts w:eastAsia="等线" w:ascii="Arial" w:cs="Arial" w:hAnsi="Arial"/>
          <w:b w:val="true"/>
          <w:sz w:val="22"/>
        </w:rPr>
        <w:t xml:space="preserve">  商讨餐饮门店相关方案班参与时间事宜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本章节中王磊栋说明当前正由第三方公司陪跑3个月，优先打磨绩效考核、人员考核、巡店、员工培训与关怀等内部运营体系，后续再腾出手推进其他相关事项，认可部分必要投入不可避免，说话人2建议其带队参加四天餐饮门店方案班，可快速敲定战略与创意，后续落地可同步推进，王磊栋表示将斟酌选择10月或更靠后的期次参与。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  <w:shd w:fill="dee0e3"/>
        </w:rPr>
        <w:t>[该类型的内容暂不支持下载]</w:t>
      </w:r>
    </w:p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" w:id="3"/>
      <w:r>
        <w:rPr>
          <w:rFonts w:eastAsia="等线" w:ascii="Arial" w:cs="Arial" w:hAnsi="Arial"/>
          <w:b w:val="true"/>
          <w:sz w:val="36"/>
        </w:rPr>
        <w:t>关键决策</w:t>
      </w:r>
      <w:bookmarkEnd w:id="3"/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关键决策</w:t>
      </w:r>
      <w:r>
        <w:rPr>
          <w:rFonts w:eastAsia="等线" w:ascii="Arial" w:cs="Arial" w:hAnsi="Arial"/>
          <w:sz w:val="22"/>
        </w:rPr>
        <w:t>：邀且贤品牌方先完成现有 3 个月内部管理陪跑项目，再结合自身时间安排，带队参加对应批次的品牌方案班，同步推进品牌超级符号、核心话语、店型打磨相关工作。</w:t>
      </w:r>
    </w:p>
    <w:p>
      <w:pPr>
        <w:numPr>
          <w:numId w:val="2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问题</w:t>
      </w:r>
      <w:r>
        <w:rPr>
          <w:rFonts w:eastAsia="等线" w:ascii="Arial" w:cs="Arial" w:hAnsi="Arial"/>
          <w:sz w:val="22"/>
        </w:rPr>
        <w:t>：品牌存在命名传播成本高、门店信息不足、内部管理体系不完善，需平衡内部内功打磨与外部品牌升级的推进节奏。</w:t>
      </w:r>
    </w:p>
    <w:p>
      <w:pPr>
        <w:numPr>
          <w:numId w:val="2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讨论方案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0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王磊栋提出先完成当前 3 个月的内部管理陪跑项目，把绩效考核、员工培训等内部体系搭建完成后，再着手处理品牌升级相关事项。</w:t>
      </w:r>
    </w:p>
    <w:p>
      <w:pPr>
        <w:numPr>
          <w:numId w:val="31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说话人 2 表示品牌方案班可快速明确战略方向与创意，落地打磨有一定周期，建议尽早安排带队参加，内部打磨与品牌升级可同步推进。</w:t>
      </w:r>
    </w:p>
    <w:p>
      <w:pPr>
        <w:numPr>
          <w:numId w:val="32"/>
        </w:numPr>
        <w:spacing w:before="120" w:after="120" w:line="288" w:lineRule="auto"/>
        <w:ind w:left="907"/>
        <w:jc w:val="left"/>
      </w:pPr>
      <w:r>
        <w:rPr>
          <w:rFonts w:eastAsia="等线" w:ascii="Arial" w:cs="Arial" w:hAnsi="Arial"/>
          <w:sz w:val="22"/>
        </w:rPr>
        <w:t>王磊栋表示将结合自身时间，确定参加 10 月或后续批次的方案班。</w:t>
      </w:r>
    </w:p>
    <w:p>
      <w:pPr>
        <w:numPr>
          <w:numId w:val="3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b w:val="true"/>
          <w:sz w:val="22"/>
        </w:rPr>
        <w:t>决策依据</w:t>
      </w:r>
      <w:r>
        <w:rPr>
          <w:rFonts w:eastAsia="等线" w:ascii="Arial" w:cs="Arial" w:hAnsi="Arial"/>
          <w:sz w:val="22"/>
        </w:rPr>
        <w:t>：既匹配品牌方当前内部管理体系搭建的优先级，也兼顾品牌升级事项的推进效率，避免两项工作冲突。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其他决策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暂不调整现有品牌名称，后续整理商标、消费者评价后再共同评估命名方案。</w:t>
      </w:r>
    </w:p>
    <w:p>
      <w:pPr>
        <w:numPr>
          <w:numId w:val="3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品牌核心传播围绕核心单品长沙罗氏虾打造，输出有穿透性的口语化进店口号。</w:t>
      </w:r>
    </w:p>
    <w:p>
      <w:pPr>
        <w:numPr>
          <w:numId w:val="3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品牌升级将围绕超级符号、核心话语、产品结构、传播落地四个维度落地，打造可复制的超级店型。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  <w:shd w:fill="dee0e3"/>
        </w:rPr>
        <w:t>[该类型的内容暂不支持下载]</w:t>
      </w:r>
    </w:p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4" w:id="4"/>
      <w:r>
        <w:rPr>
          <w:rFonts w:eastAsia="等线" w:ascii="Arial" w:cs="Arial" w:hAnsi="Arial"/>
          <w:b w:val="true"/>
          <w:sz w:val="36"/>
        </w:rPr>
        <w:t>金句时刻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「脱离这个长沙，因为小龙虾已经烂大街了。」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—— </w:t>
      </w:r>
      <w:r>
        <w:rPr>
          <w:rFonts w:eastAsia="等线" w:ascii="Arial" w:cs="Arial" w:hAnsi="Arial"/>
          <w:sz w:val="22"/>
        </w:rPr>
        <w:t>点出了餐饮品类选择的核心逻辑，避开红海赛道找差异化机会，对餐饮创业有很强的参考价值。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「符号的价值就是，不是为了做符号而符号，符号的价值就是降低你的营销传播成本。」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—— </w:t>
      </w:r>
      <w:r>
        <w:rPr>
          <w:rFonts w:eastAsia="等线" w:ascii="Arial" w:cs="Arial" w:hAnsi="Arial"/>
          <w:sz w:val="22"/>
        </w:rPr>
        <w:t>清晰点明了品牌超级符号的核心作用，纠正了为做符号而做符号的常见误区。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「人，你还是一家餐饮店。」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—— </w:t>
      </w:r>
      <w:r>
        <w:rPr>
          <w:rFonts w:eastAsia="等线" w:ascii="Arial" w:cs="Arial" w:hAnsi="Arial"/>
          <w:sz w:val="22"/>
        </w:rPr>
        <w:t>回归餐饮本质，提醒品牌建设不能脱离门店的核心经营属性，避免过度追求形式偏离核心。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  <w:shd w:fill="dee0e3"/>
        </w:rPr>
        <w:t>[该类型的内容暂不支持下载]</w:t>
      </w:r>
    </w:p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5" w:id="5"/>
      <w:r>
        <w:rPr>
          <w:rFonts w:eastAsia="等线" w:ascii="Arial" w:cs="Arial" w:hAnsi="Arial"/>
          <w:b w:val="true"/>
          <w:sz w:val="36"/>
        </w:rPr>
        <w:t>相关链接</w:t>
      </w:r>
      <w:bookmarkEnd w:id="5"/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妙记：</w:t>
      </w:r>
      <w:hyperlink r:id="rId17">
        <w:r>
          <w:rPr>
            <w:rFonts w:eastAsia="等线" w:ascii="Arial" w:cs="Arial" w:hAnsi="Arial"/>
            <w:color w:val="3370ff"/>
            <w:sz w:val="22"/>
          </w:rPr>
          <w:t>妖且闲-王磊栋-长沙大排档</w:t>
        </w:r>
      </w:hyperlink>
    </w:p>
    <w:p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文字记录</w:t>
      </w:r>
    </w:p>
    <w:p>
      <w:pPr>
        <w:numPr>
          <w:numId w:val="40"/>
        </w:numPr>
        <w:spacing w:before="120" w:after="120" w:line="288" w:lineRule="auto"/>
        <w:ind w:left="453"/>
        <w:jc w:val="left"/>
      </w:pPr>
      <w:hyperlink r:id="rId18">
        <w:r>
          <w:rPr>
            <w:rFonts w:eastAsia="等线" w:ascii="Arial" w:cs="Arial" w:hAnsi="Arial"/>
            <w:color w:val="3370ff"/>
            <w:sz w:val="22"/>
          </w:rPr>
          <w:t>妖且闲-王磊栋-长沙大排档 2026年9月20日</w:t>
        </w:r>
      </w:hyperlink>
    </w:p>
    <w:sectPr>
      <w:footerReference w:type="default" r:id="rId3"/>
      <w:headerReference w:type="default" r:id="rId19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numbering.xml><?xml version="1.0" encoding="utf-8"?>
<w:numbering xmlns:w="http://schemas.openxmlformats.org/wordprocessingml/2006/main">
  <w:abstractNum w:abstractNumId="1232916">
    <w:lvl>
      <w:numFmt w:val="bullet"/>
      <w:suff w:val="tab"/>
      <w:lvlText w:val="•"/>
      <w:rPr>
        <w:color w:val="3370ff"/>
      </w:rPr>
    </w:lvl>
  </w:abstractNum>
  <w:abstractNum w:abstractNumId="1232917">
    <w:lvl>
      <w:numFmt w:val="bullet"/>
      <w:suff w:val="tab"/>
      <w:lvlText w:val="￮"/>
      <w:rPr>
        <w:color w:val="3370ff"/>
      </w:rPr>
    </w:lvl>
  </w:abstractNum>
  <w:abstractNum w:abstractNumId="1232918">
    <w:lvl>
      <w:numFmt w:val="bullet"/>
      <w:suff w:val="tab"/>
      <w:lvlText w:val="￮"/>
      <w:rPr>
        <w:color w:val="3370ff"/>
      </w:rPr>
    </w:lvl>
  </w:abstractNum>
  <w:abstractNum w:abstractNumId="1232919">
    <w:lvl>
      <w:numFmt w:val="bullet"/>
      <w:suff w:val="tab"/>
      <w:lvlText w:val="￮"/>
      <w:rPr>
        <w:color w:val="3370ff"/>
      </w:rPr>
    </w:lvl>
  </w:abstractNum>
  <w:abstractNum w:abstractNumId="1232920">
    <w:lvl>
      <w:numFmt w:val="bullet"/>
      <w:suff w:val="tab"/>
      <w:lvlText w:val="￮"/>
      <w:rPr>
        <w:color w:val="3370ff"/>
      </w:rPr>
    </w:lvl>
  </w:abstractNum>
  <w:abstractNum w:abstractNumId="1232921">
    <w:lvl>
      <w:numFmt w:val="bullet"/>
      <w:suff w:val="tab"/>
      <w:lvlText w:val="•"/>
      <w:rPr>
        <w:color w:val="3370ff"/>
      </w:rPr>
    </w:lvl>
  </w:abstractNum>
  <w:abstractNum w:abstractNumId="1232922">
    <w:lvl>
      <w:numFmt w:val="bullet"/>
      <w:suff w:val="tab"/>
      <w:lvlText w:val="•"/>
      <w:rPr>
        <w:color w:val="3370ff"/>
      </w:rPr>
    </w:lvl>
  </w:abstractNum>
  <w:abstractNum w:abstractNumId="1232923">
    <w:lvl>
      <w:numFmt w:val="bullet"/>
      <w:suff w:val="tab"/>
      <w:lvlText w:val="￮"/>
      <w:rPr>
        <w:color w:val="3370ff"/>
      </w:rPr>
    </w:lvl>
  </w:abstractNum>
  <w:abstractNum w:abstractNumId="1232924">
    <w:lvl>
      <w:numFmt w:val="bullet"/>
      <w:suff w:val="tab"/>
      <w:lvlText w:val="￮"/>
      <w:rPr>
        <w:color w:val="3370ff"/>
      </w:rPr>
    </w:lvl>
  </w:abstractNum>
  <w:abstractNum w:abstractNumId="1232925">
    <w:lvl>
      <w:numFmt w:val="bullet"/>
      <w:suff w:val="tab"/>
      <w:lvlText w:val="￮"/>
      <w:rPr>
        <w:color w:val="3370ff"/>
      </w:rPr>
    </w:lvl>
  </w:abstractNum>
  <w:abstractNum w:abstractNumId="1232926">
    <w:lvl>
      <w:numFmt w:val="bullet"/>
      <w:suff w:val="tab"/>
      <w:lvlText w:val="▪"/>
      <w:rPr>
        <w:color w:val="3370ff"/>
        <w:sz w:val="11"/>
      </w:rPr>
    </w:lvl>
  </w:abstractNum>
  <w:abstractNum w:abstractNumId="1232927">
    <w:lvl>
      <w:numFmt w:val="bullet"/>
      <w:suff w:val="tab"/>
      <w:lvlText w:val="▪"/>
      <w:rPr>
        <w:color w:val="3370ff"/>
        <w:sz w:val="11"/>
      </w:rPr>
    </w:lvl>
  </w:abstractNum>
  <w:abstractNum w:abstractNumId="1232928">
    <w:lvl>
      <w:numFmt w:val="bullet"/>
      <w:suff w:val="tab"/>
      <w:lvlText w:val="￮"/>
      <w:rPr>
        <w:color w:val="3370ff"/>
      </w:rPr>
    </w:lvl>
  </w:abstractNum>
  <w:abstractNum w:abstractNumId="1232929">
    <w:lvl>
      <w:numFmt w:val="bullet"/>
      <w:suff w:val="tab"/>
      <w:lvlText w:val="•"/>
      <w:rPr>
        <w:color w:val="3370ff"/>
      </w:rPr>
    </w:lvl>
  </w:abstractNum>
  <w:abstractNum w:abstractNumId="1232930">
    <w:lvl>
      <w:numFmt w:val="bullet"/>
      <w:suff w:val="tab"/>
      <w:lvlText w:val="￮"/>
      <w:rPr>
        <w:color w:val="3370ff"/>
      </w:rPr>
    </w:lvl>
  </w:abstractNum>
  <w:abstractNum w:abstractNumId="1232931">
    <w:lvl>
      <w:numFmt w:val="bullet"/>
      <w:suff w:val="tab"/>
      <w:lvlText w:val="▪"/>
      <w:rPr>
        <w:color w:val="3370ff"/>
        <w:sz w:val="11"/>
      </w:rPr>
    </w:lvl>
  </w:abstractNum>
  <w:abstractNum w:abstractNumId="1232932">
    <w:lvl>
      <w:numFmt w:val="bullet"/>
      <w:suff w:val="tab"/>
      <w:lvlText w:val="▪"/>
      <w:rPr>
        <w:color w:val="3370ff"/>
        <w:sz w:val="11"/>
      </w:rPr>
    </w:lvl>
  </w:abstractNum>
  <w:abstractNum w:abstractNumId="1232933">
    <w:lvl>
      <w:numFmt w:val="bullet"/>
      <w:suff w:val="tab"/>
      <w:lvlText w:val="￮"/>
      <w:rPr>
        <w:color w:val="3370ff"/>
      </w:rPr>
    </w:lvl>
  </w:abstractNum>
  <w:abstractNum w:abstractNumId="1232934">
    <w:lvl>
      <w:numFmt w:val="bullet"/>
      <w:suff w:val="tab"/>
      <w:lvlText w:val="￮"/>
      <w:rPr>
        <w:color w:val="3370ff"/>
      </w:rPr>
    </w:lvl>
  </w:abstractNum>
  <w:abstractNum w:abstractNumId="1232935">
    <w:lvl>
      <w:numFmt w:val="bullet"/>
      <w:suff w:val="tab"/>
      <w:lvlText w:val="•"/>
      <w:rPr>
        <w:color w:val="3370ff"/>
      </w:rPr>
    </w:lvl>
  </w:abstractNum>
  <w:abstractNum w:abstractNumId="1232936">
    <w:lvl>
      <w:numFmt w:val="bullet"/>
      <w:suff w:val="tab"/>
      <w:lvlText w:val="￮"/>
      <w:rPr>
        <w:color w:val="3370ff"/>
      </w:rPr>
    </w:lvl>
  </w:abstractNum>
  <w:abstractNum w:abstractNumId="1232937">
    <w:lvl>
      <w:numFmt w:val="bullet"/>
      <w:suff w:val="tab"/>
      <w:lvlText w:val="￮"/>
      <w:rPr>
        <w:color w:val="3370ff"/>
      </w:rPr>
    </w:lvl>
  </w:abstractNum>
  <w:abstractNum w:abstractNumId="1232938">
    <w:lvl>
      <w:numFmt w:val="bullet"/>
      <w:suff w:val="tab"/>
      <w:lvlText w:val="▪"/>
      <w:rPr>
        <w:color w:val="3370ff"/>
        <w:sz w:val="11"/>
      </w:rPr>
    </w:lvl>
  </w:abstractNum>
  <w:abstractNum w:abstractNumId="1232939">
    <w:lvl>
      <w:numFmt w:val="bullet"/>
      <w:suff w:val="tab"/>
      <w:lvlText w:val="▪"/>
      <w:rPr>
        <w:color w:val="3370ff"/>
        <w:sz w:val="11"/>
      </w:rPr>
    </w:lvl>
  </w:abstractNum>
  <w:abstractNum w:abstractNumId="1232940">
    <w:lvl>
      <w:numFmt w:val="bullet"/>
      <w:suff w:val="space"/>
      <w:lvlText w:val="□"/>
    </w:lvl>
  </w:abstractNum>
  <w:abstractNum w:abstractNumId="1232941">
    <w:lvl>
      <w:numFmt w:val="bullet"/>
      <w:suff w:val="space"/>
      <w:lvlText w:val="□"/>
    </w:lvl>
  </w:abstractNum>
  <w:abstractNum w:abstractNumId="1232942">
    <w:lvl>
      <w:numFmt w:val="bullet"/>
      <w:suff w:val="tab"/>
      <w:lvlText w:val="•"/>
      <w:rPr>
        <w:color w:val="3370ff"/>
      </w:rPr>
    </w:lvl>
  </w:abstractNum>
  <w:abstractNum w:abstractNumId="1232943">
    <w:lvl>
      <w:numFmt w:val="bullet"/>
      <w:suff w:val="tab"/>
      <w:lvlText w:val="￮"/>
      <w:rPr>
        <w:color w:val="3370ff"/>
      </w:rPr>
    </w:lvl>
  </w:abstractNum>
  <w:abstractNum w:abstractNumId="1232944">
    <w:lvl>
      <w:numFmt w:val="bullet"/>
      <w:suff w:val="tab"/>
      <w:lvlText w:val="￮"/>
      <w:rPr>
        <w:color w:val="3370ff"/>
      </w:rPr>
    </w:lvl>
  </w:abstractNum>
  <w:abstractNum w:abstractNumId="1232945">
    <w:lvl>
      <w:numFmt w:val="bullet"/>
      <w:suff w:val="tab"/>
      <w:lvlText w:val="▪"/>
      <w:rPr>
        <w:color w:val="3370ff"/>
        <w:sz w:val="11"/>
      </w:rPr>
    </w:lvl>
  </w:abstractNum>
  <w:abstractNum w:abstractNumId="1232946">
    <w:lvl>
      <w:numFmt w:val="bullet"/>
      <w:suff w:val="tab"/>
      <w:lvlText w:val="▪"/>
      <w:rPr>
        <w:color w:val="3370ff"/>
        <w:sz w:val="11"/>
      </w:rPr>
    </w:lvl>
  </w:abstractNum>
  <w:abstractNum w:abstractNumId="1232947">
    <w:lvl>
      <w:numFmt w:val="bullet"/>
      <w:suff w:val="tab"/>
      <w:lvlText w:val="▪"/>
      <w:rPr>
        <w:color w:val="3370ff"/>
        <w:sz w:val="11"/>
      </w:rPr>
    </w:lvl>
  </w:abstractNum>
  <w:abstractNum w:abstractNumId="1232948">
    <w:lvl>
      <w:numFmt w:val="bullet"/>
      <w:suff w:val="tab"/>
      <w:lvlText w:val="￮"/>
      <w:rPr>
        <w:color w:val="3370ff"/>
      </w:rPr>
    </w:lvl>
  </w:abstractNum>
  <w:abstractNum w:abstractNumId="1232949">
    <w:lvl>
      <w:numFmt w:val="bullet"/>
      <w:suff w:val="tab"/>
      <w:lvlText w:val="•"/>
      <w:rPr>
        <w:color w:val="3370ff"/>
      </w:rPr>
    </w:lvl>
  </w:abstractNum>
  <w:abstractNum w:abstractNumId="1232950">
    <w:lvl>
      <w:start w:val="1"/>
      <w:numFmt w:val="lowerLetter"/>
      <w:suff w:val="tab"/>
      <w:lvlText w:val="%1."/>
      <w:rPr>
        <w:color w:val="3370ff"/>
      </w:rPr>
    </w:lvl>
  </w:abstractNum>
  <w:abstractNum w:abstractNumId="1232951">
    <w:lvl>
      <w:start w:val="2"/>
      <w:numFmt w:val="lowerLetter"/>
      <w:suff w:val="tab"/>
      <w:lvlText w:val="%1."/>
      <w:rPr>
        <w:color w:val="3370ff"/>
      </w:rPr>
    </w:lvl>
  </w:abstractNum>
  <w:abstractNum w:abstractNumId="1232952">
    <w:lvl>
      <w:start w:val="3"/>
      <w:numFmt w:val="lowerLetter"/>
      <w:suff w:val="tab"/>
      <w:lvlText w:val="%1."/>
      <w:rPr>
        <w:color w:val="3370ff"/>
      </w:rPr>
    </w:lvl>
  </w:abstractNum>
  <w:abstractNum w:abstractNumId="1232953">
    <w:lvl>
      <w:numFmt w:val="bullet"/>
      <w:suff w:val="tab"/>
      <w:lvlText w:val="•"/>
      <w:rPr>
        <w:color w:val="3370ff"/>
      </w:rPr>
    </w:lvl>
  </w:abstractNum>
  <w:abstractNum w:abstractNumId="1232954">
    <w:lvl>
      <w:numFmt w:val="bullet"/>
      <w:suff w:val="tab"/>
      <w:lvlText w:val="•"/>
      <w:rPr>
        <w:color w:val="3370ff"/>
      </w:rPr>
    </w:lvl>
  </w:abstractNum>
  <w:abstractNum w:abstractNumId="1232955">
    <w:lvl>
      <w:numFmt w:val="bullet"/>
      <w:suff w:val="tab"/>
      <w:lvlText w:val="￮"/>
      <w:rPr>
        <w:color w:val="3370ff"/>
      </w:rPr>
    </w:lvl>
  </w:abstractNum>
  <w:num w:numId="1">
    <w:abstractNumId w:val="1232916"/>
  </w:num>
  <w:num w:numId="2">
    <w:abstractNumId w:val="1232917"/>
  </w:num>
  <w:num w:numId="3">
    <w:abstractNumId w:val="1232918"/>
  </w:num>
  <w:num w:numId="4">
    <w:abstractNumId w:val="1232919"/>
  </w:num>
  <w:num w:numId="5">
    <w:abstractNumId w:val="1232920"/>
  </w:num>
  <w:num w:numId="6">
    <w:abstractNumId w:val="1232921"/>
  </w:num>
  <w:num w:numId="7">
    <w:abstractNumId w:val="1232922"/>
  </w:num>
  <w:num w:numId="8">
    <w:abstractNumId w:val="1232923"/>
  </w:num>
  <w:num w:numId="9">
    <w:abstractNumId w:val="1232924"/>
  </w:num>
  <w:num w:numId="10">
    <w:abstractNumId w:val="1232925"/>
  </w:num>
  <w:num w:numId="11">
    <w:abstractNumId w:val="1232926"/>
  </w:num>
  <w:num w:numId="12">
    <w:abstractNumId w:val="1232927"/>
  </w:num>
  <w:num w:numId="13">
    <w:abstractNumId w:val="1232928"/>
  </w:num>
  <w:num w:numId="14">
    <w:abstractNumId w:val="1232929"/>
  </w:num>
  <w:num w:numId="15">
    <w:abstractNumId w:val="1232930"/>
  </w:num>
  <w:num w:numId="16">
    <w:abstractNumId w:val="1232931"/>
  </w:num>
  <w:num w:numId="17">
    <w:abstractNumId w:val="1232932"/>
  </w:num>
  <w:num w:numId="18">
    <w:abstractNumId w:val="1232933"/>
  </w:num>
  <w:num w:numId="19">
    <w:abstractNumId w:val="1232934"/>
  </w:num>
  <w:num w:numId="20">
    <w:abstractNumId w:val="1232935"/>
  </w:num>
  <w:num w:numId="21">
    <w:abstractNumId w:val="1232936"/>
  </w:num>
  <w:num w:numId="22">
    <w:abstractNumId w:val="1232937"/>
  </w:num>
  <w:num w:numId="23">
    <w:abstractNumId w:val="1232938"/>
  </w:num>
  <w:num w:numId="24">
    <w:abstractNumId w:val="1232939"/>
  </w:num>
  <w:num w:numId="25">
    <w:abstractNumId w:val="1232940"/>
  </w:num>
  <w:num w:numId="26">
    <w:abstractNumId w:val="1232941"/>
  </w:num>
  <w:num w:numId="27">
    <w:abstractNumId w:val="1232942"/>
  </w:num>
  <w:num w:numId="28">
    <w:abstractNumId w:val="1232943"/>
  </w:num>
  <w:num w:numId="29">
    <w:abstractNumId w:val="1232944"/>
  </w:num>
  <w:num w:numId="30">
    <w:abstractNumId w:val="1232945"/>
  </w:num>
  <w:num w:numId="31">
    <w:abstractNumId w:val="1232946"/>
  </w:num>
  <w:num w:numId="32">
    <w:abstractNumId w:val="1232947"/>
  </w:num>
  <w:num w:numId="33">
    <w:abstractNumId w:val="1232948"/>
  </w:num>
  <w:num w:numId="34">
    <w:abstractNumId w:val="1232949"/>
  </w:num>
  <w:num w:numId="35">
    <w:abstractNumId w:val="1232950"/>
  </w:num>
  <w:num w:numId="36">
    <w:abstractNumId w:val="1232951"/>
  </w:num>
  <w:num w:numId="37">
    <w:abstractNumId w:val="1232952"/>
  </w:num>
  <w:num w:numId="38">
    <w:abstractNumId w:val="1232953"/>
  </w:num>
  <w:num w:numId="39">
    <w:abstractNumId w:val="1232954"/>
  </w:num>
  <w:num w:numId="40">
    <w:abstractNumId w:val="1232955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https://dwc5tr3ehey.feishu.cn/minutes/obcn5utn9hq28v641gt6962n?t=172000" TargetMode="External" Type="http://schemas.openxmlformats.org/officeDocument/2006/relationships/hyperlink"/><Relationship Id="rId11" Target="https://dwc5tr3ehey.feishu.cn/minutes/obcn5utn9hq28v641gt6962n?t=220000" TargetMode="External" Type="http://schemas.openxmlformats.org/officeDocument/2006/relationships/hyperlink"/><Relationship Id="rId12" Target="https://dwc5tr3ehey.feishu.cn/minutes/obcn5utn9hq28v641gt6962n?t=347000" TargetMode="External" Type="http://schemas.openxmlformats.org/officeDocument/2006/relationships/hyperlink"/><Relationship Id="rId13" Target="https://dwc5tr3ehey.feishu.cn/minutes/obcn5utn9hq28v641gt6962n?t=477000" TargetMode="External" Type="http://schemas.openxmlformats.org/officeDocument/2006/relationships/hyperlink"/><Relationship Id="rId14" Target="https://dwc5tr3ehey.feishu.cn/minutes/obcn5utn9hq28v641gt6962n?t=576000" TargetMode="External" Type="http://schemas.openxmlformats.org/officeDocument/2006/relationships/hyperlink"/><Relationship Id="rId15" Target="https://dwc5tr3ehey.feishu.cn/minutes/obcn5utn9hq28v641gt6962n?t=669000" TargetMode="External" Type="http://schemas.openxmlformats.org/officeDocument/2006/relationships/hyperlink"/><Relationship Id="rId16" Target="https://dwc5tr3ehey.feishu.cn/minutes/obcn5utn9hq28v641gt6962n?t=820000" TargetMode="External" Type="http://schemas.openxmlformats.org/officeDocument/2006/relationships/hyperlink"/><Relationship Id="rId17" Target="https://dwc5tr3ehey.feishu.cn/minutes/obcn5utn9hq28v641gt6962n?from=ai_minutes" TargetMode="External" Type="http://schemas.openxmlformats.org/officeDocument/2006/relationships/hyperlink"/><Relationship Id="rId18" Target="https://dwc5tr3ehey.feishu.cn/docx/VAesdBZJwoTZOGxyugjcmKd6njh" TargetMode="External" Type="http://schemas.openxmlformats.org/officeDocument/2006/relationships/hyperlink"/><Relationship Id="rId19" Target="header1.xml" Type="http://schemas.openxmlformats.org/officeDocument/2006/relationships/header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media/image1.jpeg" Type="http://schemas.openxmlformats.org/officeDocument/2006/relationships/image"/><Relationship Id="rId5" Target="numbering.xml" Type="http://schemas.openxmlformats.org/officeDocument/2006/relationships/numbering"/><Relationship Id="rId6" Target="media/image2.png" Type="http://schemas.openxmlformats.org/officeDocument/2006/relationships/image"/><Relationship Id="rId7" Target="media/image3.png" Type="http://schemas.openxmlformats.org/officeDocument/2006/relationships/image"/><Relationship Id="rId8" Target="https://dwc5tr3ehey.feishu.cn/minutes/obcn5utn9hq28v641gt6962n?t=0" TargetMode="External" Type="http://schemas.openxmlformats.org/officeDocument/2006/relationships/hyperlink"/><Relationship Id="rId9" Target="https://dwc5tr3ehey.feishu.cn/minutes/obcn5utn9hq28v641gt6962n?t=84000" TargetMode="External" Type="http://schemas.openxmlformats.org/officeDocument/2006/relationships/hyperlink"/></Relationships>
</file>

<file path=word/_rels/header1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2026-09-24T03:56:53Z</dcterms:created>
  <dc:creator>Apache POI</dc:creator>
</cp:coreProperties>
</file>