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wp="http://schemas.openxmlformats.org/drawingml/2006/wordprocessingDrawing" xmlns:r="http://schemas.openxmlformats.org/officeDocument/2006/relationships">
  <w:body>
    <w:p>
      <w:pPr>
        <w:spacing w:before="480" w:after="480" w:line="288" w:lineRule="auto"/>
        <w:ind w:left="0"/>
      </w:pPr>
      <w:r>
        <w:rPr>
          <w:rFonts w:eastAsia="等线" w:ascii="Arial" w:cs="Arial" w:hAnsi="Arial"/>
          <w:b w:val="true"/>
          <w:sz w:val="52"/>
        </w:rPr>
        <w:t>智能纪要：家居建材品牌营销方案讨论 2026年9月21日</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录音主题：家居建材品牌营销方案讨论</w:t>
            </w:r>
          </w:p>
          <w:p>
            <w:pPr>
              <w:spacing w:before="120" w:after="120" w:line="288" w:lineRule="auto"/>
              <w:ind w:left="0"/>
              <w:jc w:val="left"/>
            </w:pPr>
            <w:r>
              <w:rPr>
                <w:rFonts w:eastAsia="等线" w:ascii="Arial" w:cs="Arial" w:hAnsi="Arial"/>
                <w:color w:val="646a73"/>
                <w:sz w:val="22"/>
              </w:rPr>
              <w:t>录音时间：2026年9月21日（周一） 13:28 - 13:47 （GMT+08）</w:t>
            </w:r>
          </w:p>
        </w:tc>
      </w:tr>
    </w:tbl>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智能纪要由 AI 生成，可能不准确，请谨慎甄别后使用</w:t>
            </w:r>
          </w:p>
        </w:tc>
      </w:tr>
    </w:tbl>
    <w:p>
      <w:pPr>
        <w:spacing w:before="120" w:after="120" w:line="288" w:lineRule="auto"/>
        <w:ind w:left="0"/>
        <w:jc w:val="left"/>
      </w:pPr>
    </w:p>
    <w:p>
      <w:pPr>
        <w:pStyle w:val="1"/>
        <w:spacing w:before="380" w:after="140" w:line="288" w:lineRule="auto"/>
        <w:ind w:left="0"/>
        <w:jc w:val="left"/>
        <w:outlineLvl w:val="0"/>
      </w:pPr>
      <w:bookmarkStart w:name="heading_0" w:id="0"/>
      <w:r>
        <w:rPr>
          <w:rFonts w:eastAsia="等线" w:ascii="Arial" w:cs="Arial" w:hAnsi="Arial"/>
          <w:b w:val="true"/>
          <w:sz w:val="36"/>
        </w:rPr>
        <w:t>总结</w:t>
      </w:r>
      <w:bookmarkEnd w:id="0"/>
    </w:p>
    <w:p>
      <w:pPr>
        <w:spacing w:before="120" w:after="120" w:line="288" w:lineRule="auto"/>
        <w:ind w:left="0"/>
        <w:jc w:val="center"/>
      </w:pPr>
      <w:r>
        <w:drawing>
          <wp:inline distT="0" distR="0" distB="0" distL="0">
            <wp:extent cx="5257800" cy="3629025"/>
            <wp:docPr id="0" name="Drawing 0" descr=""/>
            <a:graphic xmlns:a="http://schemas.openxmlformats.org/drawingml/2006/main">
              <a:graphicData uri="http://schemas.openxmlformats.org/drawingml/2006/picture">
                <pic:pic xmlns:pic="http://schemas.openxmlformats.org/drawingml/2006/picture">
                  <pic:nvPicPr>
                    <pic:cNvPr id="0" name="Picture 0" descr=""/>
                    <pic:cNvPicPr>
                      <a:picLocks noChangeAspect="true"/>
                    </pic:cNvPicPr>
                  </pic:nvPicPr>
                  <pic:blipFill>
                    <a:blip r:embed="rId4"/>
                    <a:stretch>
                      <a:fillRect/>
                    </a:stretch>
                  </pic:blipFill>
                  <pic:spPr>
                    <a:xfrm>
                      <a:off x="0" y="0"/>
                      <a:ext cx="5257800" cy="3629025"/>
                    </a:xfrm>
                    <a:prstGeom prst="rect">
                      <a:avLst/>
                    </a:prstGeom>
                  </pic:spPr>
                </pic:pic>
              </a:graphicData>
            </a:graphic>
          </wp:inline>
        </w:drawing>
      </w:r>
    </w:p>
    <w:p>
      <w:pPr>
        <w:spacing w:before="120" w:after="120" w:line="288" w:lineRule="auto"/>
        <w:ind w:left="0"/>
        <w:jc w:val="left"/>
      </w:pPr>
      <w:r>
        <w:rPr>
          <w:rFonts w:eastAsia="等线" w:ascii="Arial" w:cs="Arial" w:hAnsi="Arial"/>
          <w:sz w:val="22"/>
        </w:rPr>
        <w:t>音频为瓷砖品牌方与品牌咨询专家周庆一开展的品牌升级专项沟通，核心内容如下：</w:t>
      </w:r>
    </w:p>
    <w:p>
      <w:pPr>
        <w:numPr>
          <w:numId w:val="1"/>
        </w:numPr>
        <w:spacing w:before="120" w:after="120" w:line="288" w:lineRule="auto"/>
        <w:ind w:left="0"/>
        <w:jc w:val="left"/>
      </w:pPr>
      <w:r>
        <w:rPr>
          <w:rFonts w:eastAsia="等线" w:ascii="Arial" w:cs="Arial" w:hAnsi="Arial"/>
          <w:b w:val="true"/>
          <w:sz w:val="22"/>
        </w:rPr>
        <w:t>品牌现状与核心诉求</w:t>
      </w:r>
    </w:p>
    <w:p>
      <w:pPr>
        <w:numPr>
          <w:numId w:val="2"/>
        </w:numPr>
        <w:spacing w:before="120" w:after="120" w:line="288" w:lineRule="auto"/>
        <w:ind w:left="453"/>
        <w:jc w:val="left"/>
      </w:pPr>
      <w:r>
        <w:rPr>
          <w:rFonts w:eastAsia="等线" w:ascii="Arial" w:cs="Arial" w:hAnsi="Arial"/>
          <w:b w:val="true"/>
          <w:sz w:val="22"/>
        </w:rPr>
        <w:t>品牌基础情况</w:t>
      </w:r>
    </w:p>
    <w:p>
      <w:pPr>
        <w:numPr>
          <w:numId w:val="3"/>
        </w:numPr>
        <w:spacing w:before="120" w:after="120" w:line="288" w:lineRule="auto"/>
        <w:ind w:left="907"/>
        <w:jc w:val="left"/>
      </w:pPr>
      <w:r>
        <w:rPr>
          <w:rFonts w:eastAsia="等线" w:ascii="Arial" w:cs="Arial" w:hAnsi="Arial"/>
          <w:sz w:val="22"/>
        </w:rPr>
        <w:t>核心渠道：核心成交场景为经销商门店，同时覆盖整装公司、工程渠道，当前门店形象既不统一也无突出亮点</w:t>
      </w:r>
    </w:p>
    <w:p>
      <w:pPr>
        <w:numPr>
          <w:numId w:val="4"/>
        </w:numPr>
        <w:spacing w:before="120" w:after="120" w:line="288" w:lineRule="auto"/>
        <w:ind w:left="907"/>
        <w:jc w:val="left"/>
      </w:pPr>
      <w:r>
        <w:rPr>
          <w:rFonts w:eastAsia="等线" w:ascii="Arial" w:cs="Arial" w:hAnsi="Arial"/>
          <w:sz w:val="22"/>
        </w:rPr>
        <w:t>产品价格体系：覆盖全价格段，800 × 800 规格瓷砖单价 30-40 元，最高单价超 1000 元，单店客单价区间为五六千至两三万</w:t>
      </w:r>
    </w:p>
    <w:p>
      <w:pPr>
        <w:numPr>
          <w:numId w:val="5"/>
        </w:numPr>
        <w:spacing w:before="120" w:after="120" w:line="288" w:lineRule="auto"/>
        <w:ind w:left="907"/>
        <w:jc w:val="left"/>
      </w:pPr>
      <w:r>
        <w:rPr>
          <w:rFonts w:eastAsia="等线" w:ascii="Arial" w:cs="Arial" w:hAnsi="Arial"/>
          <w:sz w:val="22"/>
        </w:rPr>
        <w:t>过往品牌迭代：先后完成 4 轮品牌符号与话语体系升级，当前对最新版本的传播效果认可度较低，计划创作全新品牌符号</w:t>
      </w:r>
    </w:p>
    <w:p>
      <w:pPr>
        <w:spacing w:before="120" w:after="120" w:line="288" w:lineRule="auto"/>
        <w:ind w:left="907"/>
        <w:jc w:val="center"/>
      </w:pPr>
      <w:r>
        <w:drawing>
          <wp:inline distT="0" distR="0" distB="0" distL="0">
            <wp:extent cx="5257800" cy="1076325"/>
            <wp:docPr id="1" name="Drawing 1" descr=""/>
            <a:graphic xmlns:a="http://schemas.openxmlformats.org/drawingml/2006/main">
              <a:graphicData uri="http://schemas.openxmlformats.org/drawingml/2006/picture">
                <pic:pic xmlns:pic="http://schemas.openxmlformats.org/drawingml/2006/picture">
                  <pic:nvPicPr>
                    <pic:cNvPr id="0" name="Picture 1" descr=""/>
                    <pic:cNvPicPr>
                      <a:picLocks noChangeAspect="true"/>
                    </pic:cNvPicPr>
                  </pic:nvPicPr>
                  <pic:blipFill>
                    <a:blip r:embed="rId6"/>
                    <a:stretch>
                      <a:fillRect/>
                    </a:stretch>
                  </pic:blipFill>
                  <pic:spPr>
                    <a:xfrm>
                      <a:off x="0" y="0"/>
                      <a:ext cx="5257800" cy="1076325"/>
                    </a:xfrm>
                    <a:prstGeom prst="rect">
                      <a:avLst/>
                    </a:prstGeom>
                  </pic:spPr>
                </pic:pic>
              </a:graphicData>
            </a:graphic>
          </wp:inline>
        </w:drawing>
      </w:r>
    </w:p>
    <w:p>
      <w:pPr>
        <w:spacing w:before="120" w:after="120" w:line="288" w:lineRule="auto"/>
        <w:ind w:left="907"/>
        <w:jc w:val="center"/>
      </w:pPr>
      <w:r>
        <w:rPr>
          <w:rFonts w:eastAsia="等线" w:ascii="Arial" w:cs="Arial" w:hAnsi="Arial"/>
          <w:color w:val="8F959E"/>
          <w:sz w:val="22"/>
        </w:rPr>
        <w:t>品牌话语体系迭代历程</w:t>
        <w:br/>
      </w:r>
    </w:p>
    <w:p>
      <w:pPr>
        <w:numPr>
          <w:numId w:val="6"/>
        </w:numPr>
        <w:spacing w:before="120" w:after="120" w:line="288" w:lineRule="auto"/>
        <w:ind w:left="907"/>
        <w:jc w:val="left"/>
      </w:pPr>
      <w:r>
        <w:rPr>
          <w:rFonts w:eastAsia="等线" w:ascii="Arial" w:cs="Arial" w:hAnsi="Arial"/>
          <w:sz w:val="22"/>
        </w:rPr>
        <w:t>核心优势：岩板生产规模居行业前列，前年推出的展望系列产品在 B、C 端及新媒体均获得不错的市场反馈</w:t>
      </w:r>
    </w:p>
    <w:p>
      <w:pPr>
        <w:numPr>
          <w:numId w:val="7"/>
        </w:numPr>
        <w:spacing w:before="120" w:after="120" w:line="288" w:lineRule="auto"/>
        <w:ind w:left="453"/>
        <w:jc w:val="left"/>
      </w:pPr>
      <w:r>
        <w:rPr>
          <w:rFonts w:eastAsia="等线" w:ascii="Arial" w:cs="Arial" w:hAnsi="Arial"/>
          <w:b w:val="true"/>
          <w:sz w:val="22"/>
        </w:rPr>
        <w:t>核心诉求</w:t>
      </w:r>
      <w:r>
        <w:rPr>
          <w:rFonts w:eastAsia="等线" w:ascii="Arial" w:cs="Arial" w:hAnsi="Arial"/>
          <w:sz w:val="22"/>
        </w:rPr>
        <w:t>：担忧超级符号方法论不适用于家居建材重决策、慢决策品类，甚至会拉低品牌段位、降低落地效率</w:t>
      </w:r>
    </w:p>
    <w:p>
      <w:pPr>
        <w:numPr>
          <w:numId w:val="8"/>
        </w:numPr>
        <w:spacing w:before="120" w:after="120" w:line="288" w:lineRule="auto"/>
        <w:ind w:left="0"/>
        <w:jc w:val="left"/>
      </w:pPr>
      <w:r>
        <w:rPr>
          <w:rFonts w:eastAsia="等线" w:ascii="Arial" w:cs="Arial" w:hAnsi="Arial"/>
          <w:b w:val="true"/>
          <w:sz w:val="22"/>
        </w:rPr>
        <w:t>超级符号方法论答疑与案例参考</w:t>
      </w:r>
    </w:p>
    <w:tbl>
      <w:tblPr>
        <w:tblW w:w="0" w:type="auto"/>
        <w:tblInd w:w="453" w:type="dxa"/>
        <w:tblBorders>
          <w:top w:val="none" w:space="4"/>
          <w:left w:val="none" w:space="4"/>
          <w:bottom w:val="none" w:space="4"/>
          <w:right w:val="none" w:space="4"/>
          <w:insideH w:val="none" w:space="4"/>
          <w:insideV w:val="none" w:space="4"/>
        </w:tblBorders>
        <w:tblLayout w:type="fixed"/>
      </w:tblPr>
      <w:tblGrid>
        <w:gridCol w:w="4554"/>
        <w:gridCol w:w="248"/>
        <w:gridCol w:w="3229"/>
        <w:gridCol w:w="248"/>
      </w:tblGrid>
      <w:tr>
        <w:tc>
          <w:tcPr>
            <w:tcW w:w="4554" w:type="dxa"/>
            <w:tcMar>
              <w:top w:type="dxa" w:w="60"/>
              <w:left w:type="dxa" w:w="120"/>
              <w:bottom w:type="dxa" w:w="30"/>
              <w:right w:type="dxa" w:w="120"/>
            </w:tcMar>
          </w:tcPr>
          <w:p>
            <w:pPr>
              <w:numPr>
                <w:numId w:val="9"/>
              </w:numPr>
              <w:spacing w:before="120" w:after="120" w:line="288" w:lineRule="auto"/>
              <w:ind w:left="0"/>
              <w:jc w:val="left"/>
            </w:pPr>
            <w:r>
              <w:rPr>
                <w:rFonts w:eastAsia="等线" w:ascii="Arial" w:cs="Arial" w:hAnsi="Arial"/>
                <w:b w:val="true"/>
                <w:sz w:val="22"/>
              </w:rPr>
              <w:t>认知误区澄清</w:t>
            </w:r>
          </w:p>
          <w:p>
            <w:pPr>
              <w:numPr>
                <w:numId w:val="10"/>
              </w:numPr>
              <w:spacing w:before="120" w:after="120" w:line="288" w:lineRule="auto"/>
              <w:ind w:left="453"/>
              <w:jc w:val="left"/>
            </w:pPr>
            <w:r>
              <w:rPr>
                <w:rFonts w:eastAsia="等线" w:ascii="Arial" w:cs="Arial" w:hAnsi="Arial"/>
                <w:sz w:val="22"/>
              </w:rPr>
              <w:t>适用边界：超级符号并非仅适用于快消、餐饮品类，LV、高客单价大衣等奢侈品均以其为核心底层逻辑</w:t>
            </w:r>
          </w:p>
          <w:p>
            <w:pPr>
              <w:numPr>
                <w:numId w:val="11"/>
              </w:numPr>
              <w:spacing w:before="120" w:after="120" w:line="288" w:lineRule="auto"/>
              <w:ind w:left="453"/>
              <w:jc w:val="left"/>
            </w:pPr>
            <w:r>
              <w:rPr>
                <w:rFonts w:eastAsia="等线" w:ascii="Arial" w:cs="Arial" w:hAnsi="Arial"/>
                <w:sz w:val="22"/>
              </w:rPr>
              <w:t>核心价值：核心作用为降低获客成本、提升品牌溢价，高溢价产品更需通过符号释放价值感，避免优质价值被埋没</w:t>
            </w:r>
          </w:p>
        </w:tc>
        <w:tc>
          <w:tcPr>
            <w:tcW w:w="248" w:type="dxa"/>
            <w:tcMar>
              <w:top w:type="dxa" w:w="60"/>
              <w:left w:type="dxa" w:w="120"/>
              <w:bottom w:type="dxa" w:w="30"/>
              <w:right w:type="dxa" w:w="120"/>
            </w:tcMar>
          </w:tcPr>
          <w:p>
            <w:pPr>
              <w:spacing w:before="120" w:after="120" w:line="288" w:lineRule="auto"/>
              <w:ind w:left="0"/>
              <w:jc w:val="left"/>
            </w:pPr>
          </w:p>
        </w:tc>
        <w:tc>
          <w:tcPr>
            <w:tcW w:w="3229" w:type="dxa"/>
            <w:tcMar>
              <w:top w:type="dxa" w:w="60"/>
              <w:left w:type="dxa" w:w="120"/>
              <w:bottom w:type="dxa" w:w="30"/>
              <w:right w:type="dxa" w:w="120"/>
            </w:tcMar>
          </w:tcPr>
          <w:p>
            <w:pPr>
              <w:spacing w:before="120" w:after="120" w:line="288" w:lineRule="auto"/>
              <w:ind w:left="0"/>
              <w:jc w:val="center"/>
            </w:pPr>
            <w:r>
              <w:drawing>
                <wp:inline distT="0" distR="0" distB="0" distL="0">
                  <wp:extent cx="1895475" cy="990600"/>
                  <wp:docPr id="2" name="Drawing 2" descr=""/>
                  <a:graphic xmlns:a="http://schemas.openxmlformats.org/drawingml/2006/main">
                    <a:graphicData uri="http://schemas.openxmlformats.org/drawingml/2006/picture">
                      <pic:pic xmlns:pic="http://schemas.openxmlformats.org/drawingml/2006/picture">
                        <pic:nvPicPr>
                          <pic:cNvPr id="0" name="Picture 2" descr=""/>
                          <pic:cNvPicPr>
                            <a:picLocks noChangeAspect="true"/>
                          </pic:cNvPicPr>
                        </pic:nvPicPr>
                        <pic:blipFill>
                          <a:blip r:embed="rId7"/>
                          <a:stretch>
                            <a:fillRect/>
                          </a:stretch>
                        </pic:blipFill>
                        <pic:spPr>
                          <a:xfrm>
                            <a:off x="0" y="0"/>
                            <a:ext cx="1895475" cy="990600"/>
                          </a:xfrm>
                          <a:prstGeom prst="rect">
                            <a:avLst/>
                          </a:prstGeom>
                        </pic:spPr>
                      </pic:pic>
                    </a:graphicData>
                  </a:graphic>
                </wp:inline>
              </w:drawing>
            </w:r>
          </w:p>
          <w:p>
            <w:pPr>
              <w:spacing w:before="120" w:after="120" w:line="288" w:lineRule="auto"/>
              <w:ind w:left="0"/>
              <w:jc w:val="center"/>
            </w:pPr>
            <w:r>
              <w:rPr>
                <w:rFonts w:eastAsia="等线" w:ascii="Arial" w:cs="Arial" w:hAnsi="Arial"/>
                <w:color w:val="8F959E"/>
                <w:sz w:val="22"/>
              </w:rPr>
              <w:t>超级符号核心价值拆解</w:t>
              <w:br/>
            </w:r>
          </w:p>
        </w:tc>
        <w:tc>
          <w:tcPr>
            <w:tcW w:w="248" w:type="dxa"/>
            <w:tcMar>
              <w:top w:type="dxa" w:w="60"/>
              <w:left w:type="dxa" w:w="120"/>
              <w:bottom w:type="dxa" w:w="30"/>
              <w:right w:type="dxa" w:w="120"/>
            </w:tcMar>
          </w:tcPr>
          <w:p>
            <w:pPr>
              <w:spacing w:before="120" w:after="120" w:line="288" w:lineRule="auto"/>
              <w:ind w:left="0"/>
              <w:jc w:val="left"/>
            </w:pPr>
          </w:p>
        </w:tc>
      </w:tr>
    </w:tbl>
    <w:p>
      <w:pPr>
        <w:numPr>
          <w:numId w:val="12"/>
        </w:numPr>
        <w:spacing w:before="120" w:after="120" w:line="288" w:lineRule="auto"/>
        <w:ind w:left="453"/>
        <w:jc w:val="left"/>
      </w:pPr>
      <w:r>
        <w:rPr>
          <w:rFonts w:eastAsia="等线" w:ascii="Arial" w:cs="Arial" w:hAnsi="Arial"/>
          <w:b w:val="true"/>
          <w:sz w:val="22"/>
        </w:rPr>
        <w:t>行业落地经验</w:t>
      </w:r>
    </w:p>
    <w:tbl>
      <w:tblPr>
        <w:tblW w:w="0" w:type="auto"/>
        <w:tblInd w:w="907" w:type="dxa"/>
        <w:tblBorders>
          <w:top w:val="none" w:space="4"/>
          <w:left w:val="none" w:space="4"/>
          <w:bottom w:val="none" w:space="4"/>
          <w:right w:val="none" w:space="4"/>
          <w:insideH w:val="none" w:space="4"/>
          <w:insideV w:val="none" w:space="4"/>
        </w:tblBorders>
        <w:tblLayout w:type="fixed"/>
      </w:tblPr>
      <w:tblGrid>
        <w:gridCol w:w="4554"/>
        <w:gridCol w:w="3726"/>
      </w:tblGrid>
      <w:tr>
        <w:tc>
          <w:tcPr>
            <w:tcW w:w="4554" w:type="dxa"/>
            <w:tcMar>
              <w:top w:type="dxa" w:w="60"/>
              <w:left w:type="dxa" w:w="120"/>
              <w:bottom w:type="dxa" w:w="30"/>
              <w:right w:type="dxa" w:w="120"/>
            </w:tcMar>
          </w:tcPr>
          <w:p>
            <w:pPr>
              <w:numPr>
                <w:numId w:val="13"/>
              </w:numPr>
              <w:spacing w:before="120" w:after="120" w:line="288" w:lineRule="auto"/>
              <w:ind w:left="0"/>
              <w:jc w:val="left"/>
            </w:pPr>
            <w:r>
              <w:rPr>
                <w:rFonts w:eastAsia="等线" w:ascii="Arial" w:cs="Arial" w:hAnsi="Arial"/>
                <w:sz w:val="22"/>
              </w:rPr>
              <w:t>简一落地经验：核心动作包括明确“大理石瓷砖”新品类定位、打造“密缝铺贴”核心工艺、全链路服务标准化，支撑高溢价</w:t>
            </w:r>
          </w:p>
          <w:p>
            <w:pPr>
              <w:numPr>
                <w:numId w:val="14"/>
              </w:numPr>
              <w:spacing w:before="120" w:after="120" w:line="288" w:lineRule="auto"/>
              <w:ind w:left="0"/>
              <w:jc w:val="left"/>
            </w:pPr>
            <w:r>
              <w:rPr>
                <w:rFonts w:eastAsia="等线" w:ascii="Arial" w:cs="Arial" w:hAnsi="Arial"/>
                <w:sz w:val="22"/>
              </w:rPr>
              <w:t>简一项目评价：简一项目本身创意层面表现精彩，后续经营遇困核心受地产行业下行等大趋势影响，非品牌端动作失误</w:t>
            </w:r>
          </w:p>
        </w:tc>
        <w:tc>
          <w:tcPr>
            <w:tcW w:w="3726" w:type="dxa"/>
            <w:tcMar>
              <w:top w:type="dxa" w:w="60"/>
              <w:left w:type="dxa" w:w="120"/>
              <w:bottom w:type="dxa" w:w="30"/>
              <w:right w:type="dxa" w:w="120"/>
            </w:tcMar>
          </w:tcPr>
          <w:p>
            <w:pPr>
              <w:spacing w:before="120" w:after="120" w:line="288" w:lineRule="auto"/>
              <w:ind w:left="0"/>
              <w:jc w:val="center"/>
            </w:pPr>
            <w:r>
              <w:drawing>
                <wp:inline distT="0" distR="0" distB="0" distL="0">
                  <wp:extent cx="2209800" cy="885825"/>
                  <wp:docPr id="3" name="Drawing 3" descr=""/>
                  <a:graphic xmlns:a="http://schemas.openxmlformats.org/drawingml/2006/main">
                    <a:graphicData uri="http://schemas.openxmlformats.org/drawingml/2006/picture">
                      <pic:pic xmlns:pic="http://schemas.openxmlformats.org/drawingml/2006/picture">
                        <pic:nvPicPr>
                          <pic:cNvPr id="0" name="Picture 3" descr=""/>
                          <pic:cNvPicPr>
                            <a:picLocks noChangeAspect="true"/>
                          </pic:cNvPicPr>
                        </pic:nvPicPr>
                        <pic:blipFill>
                          <a:blip r:embed="rId8"/>
                          <a:stretch>
                            <a:fillRect/>
                          </a:stretch>
                        </pic:blipFill>
                        <pic:spPr>
                          <a:xfrm>
                            <a:off x="0" y="0"/>
                            <a:ext cx="2209800" cy="885825"/>
                          </a:xfrm>
                          <a:prstGeom prst="rect">
                            <a:avLst/>
                          </a:prstGeom>
                        </pic:spPr>
                      </pic:pic>
                    </a:graphicData>
                  </a:graphic>
                </wp:inline>
              </w:drawing>
            </w:r>
          </w:p>
          <w:p>
            <w:pPr>
              <w:spacing w:before="120" w:after="120" w:line="288" w:lineRule="auto"/>
              <w:ind w:left="0"/>
              <w:jc w:val="center"/>
            </w:pPr>
            <w:r>
              <w:rPr>
                <w:rFonts w:eastAsia="等线" w:ascii="Arial" w:cs="Arial" w:hAnsi="Arial"/>
                <w:color w:val="8F959E"/>
                <w:sz w:val="22"/>
              </w:rPr>
              <w:t>建材行业品牌升级标杆案例对比</w:t>
              <w:br/>
            </w:r>
          </w:p>
        </w:tc>
      </w:tr>
    </w:tbl>
    <w:p>
      <w:pPr>
        <w:numPr>
          <w:numId w:val="15"/>
        </w:numPr>
        <w:spacing w:before="120" w:after="120" w:line="288" w:lineRule="auto"/>
        <w:ind w:left="907"/>
        <w:jc w:val="left"/>
      </w:pPr>
      <w:r>
        <w:rPr>
          <w:rFonts w:eastAsia="等线" w:ascii="Arial" w:cs="Arial" w:hAnsi="Arial"/>
          <w:sz w:val="22"/>
        </w:rPr>
        <w:t>肯帝亚落地经验：定义“零甲醛、铺上就能搬”的核心购买理由，门店设置鱼缸场景直观展示产品属性，快速吸引消费者进店</w:t>
      </w:r>
    </w:p>
    <w:p>
      <w:pPr>
        <w:numPr>
          <w:numId w:val="16"/>
        </w:numPr>
        <w:spacing w:before="120" w:after="120" w:line="288" w:lineRule="auto"/>
        <w:ind w:left="0"/>
        <w:jc w:val="left"/>
      </w:pPr>
      <w:r>
        <w:rPr>
          <w:rFonts w:eastAsia="等线" w:ascii="Arial" w:cs="Arial" w:hAnsi="Arial"/>
          <w:b w:val="true"/>
          <w:sz w:val="22"/>
        </w:rPr>
        <w:t>针对品牌的具体优化建议</w:t>
      </w:r>
    </w:p>
    <w:p>
      <w:pPr>
        <w:numPr>
          <w:numId w:val="17"/>
        </w:numPr>
        <w:spacing w:before="120" w:after="120" w:line="288" w:lineRule="auto"/>
        <w:ind w:left="453"/>
        <w:jc w:val="left"/>
      </w:pPr>
      <w:r>
        <w:rPr>
          <w:rFonts w:eastAsia="等线" w:ascii="Arial" w:cs="Arial" w:hAnsi="Arial"/>
          <w:b w:val="true"/>
          <w:sz w:val="22"/>
        </w:rPr>
        <w:t>品牌符号优化</w:t>
      </w:r>
      <w:r>
        <w:rPr>
          <w:rFonts w:eastAsia="等线" w:ascii="Arial" w:cs="Arial" w:hAnsi="Arial"/>
          <w:sz w:val="22"/>
        </w:rPr>
        <w:t>：充分释放“将军”名称的天然戏剧性，避免浪费优质商标资源，强化消费者对品牌的记忆点与识别度</w:t>
      </w:r>
    </w:p>
    <w:p>
      <w:pPr>
        <w:numPr>
          <w:numId w:val="18"/>
        </w:numPr>
        <w:spacing w:before="120" w:after="120" w:line="288" w:lineRule="auto"/>
        <w:ind w:left="453"/>
        <w:jc w:val="left"/>
      </w:pPr>
      <w:r>
        <w:rPr>
          <w:rFonts w:eastAsia="等线" w:ascii="Arial" w:cs="Arial" w:hAnsi="Arial"/>
          <w:b w:val="true"/>
          <w:sz w:val="22"/>
        </w:rPr>
        <w:t>话语体系搭建</w:t>
      </w:r>
      <w:r>
        <w:rPr>
          <w:rFonts w:eastAsia="等线" w:ascii="Arial" w:cs="Arial" w:hAnsi="Arial"/>
          <w:sz w:val="22"/>
        </w:rPr>
        <w:t>：为核心产品提炼一句话可传播的购买理由，优先打动消费者进店咨询，再通过终端销售完成后续转化</w:t>
      </w:r>
    </w:p>
    <w:p>
      <w:pPr>
        <w:numPr>
          <w:numId w:val="19"/>
        </w:numPr>
        <w:spacing w:before="120" w:after="120" w:line="288" w:lineRule="auto"/>
        <w:ind w:left="453"/>
        <w:jc w:val="left"/>
      </w:pPr>
      <w:r>
        <w:rPr>
          <w:rFonts w:eastAsia="等线" w:ascii="Arial" w:cs="Arial" w:hAnsi="Arial"/>
          <w:b w:val="true"/>
          <w:sz w:val="22"/>
        </w:rPr>
        <w:t>产品矩阵梳理</w:t>
      </w:r>
      <w:r>
        <w:rPr>
          <w:rFonts w:eastAsia="等线" w:ascii="Arial" w:cs="Arial" w:hAnsi="Arial"/>
          <w:sz w:val="22"/>
        </w:rPr>
        <w:t>：明确各产品系列定位，区分流量款、主推款、高利润款，为高溢价产品提炼标准化话术统一输出给经销商</w:t>
      </w:r>
    </w:p>
    <w:p>
      <w:pPr>
        <w:numPr>
          <w:numId w:val="20"/>
        </w:numPr>
        <w:spacing w:before="120" w:after="120" w:line="288" w:lineRule="auto"/>
        <w:ind w:left="453"/>
        <w:jc w:val="left"/>
      </w:pPr>
      <w:r>
        <w:rPr>
          <w:rFonts w:eastAsia="等线" w:ascii="Arial" w:cs="Arial" w:hAnsi="Arial"/>
          <w:b w:val="true"/>
          <w:sz w:val="22"/>
        </w:rPr>
        <w:t>门店落地动作</w:t>
      </w:r>
      <w:r>
        <w:rPr>
          <w:rFonts w:eastAsia="等线" w:ascii="Arial" w:cs="Arial" w:hAnsi="Arial"/>
          <w:sz w:val="22"/>
        </w:rPr>
        <w:t>：参考场景化展示思路，通过可视化物料直观传递产品价值，降低终端销售人员的沟通成本与转化难度</w:t>
      </w:r>
    </w:p>
    <w:p>
      <w:pPr>
        <w:numPr>
          <w:numId w:val="21"/>
        </w:numPr>
        <w:spacing w:before="120" w:after="120" w:line="288" w:lineRule="auto"/>
        <w:ind w:left="0"/>
        <w:jc w:val="left"/>
      </w:pPr>
      <w:r>
        <w:rPr>
          <w:rFonts w:eastAsia="等线" w:ascii="Arial" w:cs="Arial" w:hAnsi="Arial"/>
          <w:b w:val="true"/>
          <w:sz w:val="22"/>
        </w:rPr>
        <w:t>ToB 招商业务核心逻辑</w:t>
      </w:r>
    </w:p>
    <w:p>
      <w:pPr>
        <w:numPr>
          <w:numId w:val="22"/>
        </w:numPr>
        <w:spacing w:before="120" w:after="120" w:line="288" w:lineRule="auto"/>
        <w:ind w:left="453"/>
        <w:jc w:val="left"/>
      </w:pPr>
      <w:r>
        <w:rPr>
          <w:rFonts w:eastAsia="等线" w:ascii="Arial" w:cs="Arial" w:hAnsi="Arial"/>
          <w:b w:val="true"/>
          <w:sz w:val="22"/>
        </w:rPr>
        <w:t>招商核心本质</w:t>
      </w:r>
      <w:r>
        <w:rPr>
          <w:rFonts w:eastAsia="等线" w:ascii="Arial" w:cs="Arial" w:hAnsi="Arial"/>
          <w:sz w:val="22"/>
        </w:rPr>
        <w:t>：面向加盟商、渠道端的宣传核心为输出成功案例，核心是提供可直接落地的盈利解决方案，而非单纯售卖产品</w:t>
      </w:r>
    </w:p>
    <w:p>
      <w:pPr>
        <w:numPr>
          <w:numId w:val="23"/>
        </w:numPr>
        <w:spacing w:before="120" w:after="120" w:line="288" w:lineRule="auto"/>
        <w:ind w:left="453"/>
        <w:jc w:val="left"/>
      </w:pPr>
      <w:r>
        <w:rPr>
          <w:rFonts w:eastAsia="等线" w:ascii="Arial" w:cs="Arial" w:hAnsi="Arial"/>
          <w:b w:val="true"/>
          <w:sz w:val="22"/>
        </w:rPr>
        <w:t>落地参考方向</w:t>
      </w:r>
      <w:r>
        <w:rPr>
          <w:rFonts w:eastAsia="等线" w:ascii="Arial" w:cs="Arial" w:hAnsi="Arial"/>
          <w:sz w:val="22"/>
        </w:rPr>
        <w:t>：参考头部服务商经验，为不同渠道客户配套全套宣传物料、标准化操作方案，最大程度降低渠道端的落地门槛</w:t>
      </w:r>
    </w:p>
    <w:p>
      <w:pPr>
        <w:spacing w:before="120" w:after="120" w:line="288" w:lineRule="auto"/>
        <w:ind w:left="0"/>
        <w:jc w:val="left"/>
      </w:pPr>
      <w:r>
        <w:rPr>
          <w:rFonts w:eastAsia="等线" w:ascii="Arial" w:cs="Arial" w:hAnsi="Arial"/>
          <w:b w:val="true"/>
          <w:sz w:val="22"/>
          <w:shd w:fill="dee0e3"/>
        </w:rPr>
        <w:t>[该类型的内容暂不支持下载]</w:t>
      </w:r>
    </w:p>
    <w:p>
      <w:pPr>
        <w:spacing w:before="120" w:after="120" w:line="288" w:lineRule="auto"/>
        <w:ind w:left="0"/>
        <w:jc w:val="left"/>
      </w:pPr>
      <w:r>
        <w:rPr>
          <w:rFonts w:eastAsia="等线" w:ascii="Arial" w:cs="Arial" w:hAnsi="Arial"/>
          <w:b w:val="true"/>
          <w:sz w:val="22"/>
          <w:shd w:fill="dee0e3"/>
        </w:rPr>
        <w:t>[该类型的内容暂不支持下载]</w:t>
      </w:r>
    </w:p>
    <w:p>
      <w:pPr>
        <w:spacing w:before="120" w:after="120" w:line="288" w:lineRule="auto"/>
        <w:ind w:left="0"/>
        <w:jc w:val="left"/>
      </w:pPr>
    </w:p>
    <w:p>
      <w:pPr>
        <w:pStyle w:val="1"/>
        <w:spacing w:before="380" w:after="140" w:line="288" w:lineRule="auto"/>
        <w:ind w:left="0"/>
        <w:jc w:val="left"/>
        <w:outlineLvl w:val="0"/>
      </w:pPr>
      <w:bookmarkStart w:name="heading_1" w:id="1"/>
      <w:r>
        <w:rPr>
          <w:rFonts w:eastAsia="等线" w:ascii="Arial" w:cs="Arial" w:hAnsi="Arial"/>
          <w:b w:val="true"/>
          <w:sz w:val="36"/>
        </w:rPr>
        <w:t>智能章节</w:t>
      </w:r>
      <w:bookmarkEnd w:id="1"/>
    </w:p>
    <w:p>
      <w:pPr>
        <w:spacing w:before="120" w:after="120" w:line="288" w:lineRule="auto"/>
        <w:ind w:left="0"/>
        <w:jc w:val="left"/>
      </w:pPr>
      <w:hyperlink r:id="rId9">
        <w:r>
          <w:rPr>
            <w:rFonts w:eastAsia="等线" w:ascii="Arial" w:cs="Arial" w:hAnsi="Arial"/>
            <w:color w:val="3370ff"/>
            <w:sz w:val="22"/>
          </w:rPr>
          <w:t>00:00</w:t>
        </w:r>
      </w:hyperlink>
      <w:r>
        <w:rPr>
          <w:rFonts w:eastAsia="等线" w:ascii="Arial" w:cs="Arial" w:hAnsi="Arial"/>
          <w:b w:val="true"/>
          <w:sz w:val="22"/>
        </w:rPr>
        <w:t xml:space="preserve">  探讨家居建材品类适配超级符号方法有效性</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是家居建材相关企业人员与周庆一的交流，双方此前已有面试接触，对方听完课程收获很大，因自身所处的家居建材是重决策、慢决策赛道，和快消品属性差异大，困惑认可的超级符号方法是否适配该品类，担心方法效率弱化甚至成为品牌扣分项。</w:t>
            </w:r>
          </w:p>
        </w:tc>
      </w:tr>
    </w:tbl>
    <w:p>
      <w:pPr>
        <w:spacing w:before="120" w:after="120" w:line="288" w:lineRule="auto"/>
        <w:ind w:left="0"/>
        <w:jc w:val="left"/>
      </w:pPr>
      <w:hyperlink r:id="rId10">
        <w:r>
          <w:rPr>
            <w:rFonts w:eastAsia="等线" w:ascii="Arial" w:cs="Arial" w:hAnsi="Arial"/>
            <w:color w:val="3370ff"/>
            <w:sz w:val="22"/>
          </w:rPr>
          <w:t>01:58</w:t>
        </w:r>
      </w:hyperlink>
      <w:r>
        <w:rPr>
          <w:rFonts w:eastAsia="等线" w:ascii="Arial" w:cs="Arial" w:hAnsi="Arial"/>
          <w:b w:val="true"/>
          <w:sz w:val="22"/>
        </w:rPr>
        <w:t xml:space="preserve">  交流当前核心销售渠道及门店相关情况</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中周庆一询问对方核心销售渠道相关情况，确认其核心销售依托经销商门店，对方补充销售渠道还包含整装公司、工程两类，同时坦言当前品牌的门店形象表现不佳，既不统一也不出彩，作为销售窗口的门店相关工作做得不到位，周庆一表示已了解相关情况。</w:t>
            </w:r>
          </w:p>
        </w:tc>
      </w:tr>
    </w:tbl>
    <w:p>
      <w:pPr>
        <w:spacing w:before="120" w:after="120" w:line="288" w:lineRule="auto"/>
        <w:ind w:left="0"/>
        <w:jc w:val="left"/>
      </w:pPr>
      <w:hyperlink r:id="rId11">
        <w:r>
          <w:rPr>
            <w:rFonts w:eastAsia="等线" w:ascii="Arial" w:cs="Arial" w:hAnsi="Arial"/>
            <w:color w:val="3370ff"/>
            <w:sz w:val="22"/>
          </w:rPr>
          <w:t>02:53</w:t>
        </w:r>
      </w:hyperlink>
      <w:r>
        <w:rPr>
          <w:rFonts w:eastAsia="等线" w:ascii="Arial" w:cs="Arial" w:hAnsi="Arial"/>
          <w:b w:val="true"/>
          <w:sz w:val="22"/>
        </w:rPr>
        <w:t xml:space="preserve">  品牌瓷砖客单价及产品价格档位说明</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围绕产品客单价与定价档位展开交流，相关方说明客单值没有统一标准，随经销商的经营能力、定位浮动，门店客单值区间覆盖五六千到两三万，因品牌产品价格梯度丰富，以800×800规格的砖为例，单价从三四十元到一千多元不等，覆盖各类价格段。</w:t>
            </w:r>
          </w:p>
        </w:tc>
      </w:tr>
    </w:tbl>
    <w:p>
      <w:pPr>
        <w:spacing w:before="120" w:after="120" w:line="288" w:lineRule="auto"/>
        <w:ind w:left="0"/>
        <w:jc w:val="left"/>
      </w:pPr>
      <w:hyperlink r:id="rId12">
        <w:r>
          <w:rPr>
            <w:rFonts w:eastAsia="等线" w:ascii="Arial" w:cs="Arial" w:hAnsi="Arial"/>
            <w:color w:val="3370ff"/>
            <w:sz w:val="22"/>
          </w:rPr>
          <w:t>03:36</w:t>
        </w:r>
      </w:hyperlink>
      <w:r>
        <w:rPr>
          <w:rFonts w:eastAsia="等线" w:ascii="Arial" w:cs="Arial" w:hAnsi="Arial"/>
          <w:b w:val="true"/>
          <w:sz w:val="22"/>
        </w:rPr>
        <w:t xml:space="preserve">  探讨品牌符号slogan迭代及特色产品现状</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双方沟通了品牌符号、slogan及产品相关情况，品牌符号先后做过带圆圈、带星星的版本，目前计划创作新符号，品牌slogan历经四次迭代，最新版本听完课后认为效果不佳待优化，品牌岩板生产规模业内领先，消费者认知不足，此前推出的展望系列产品在B、C端反馈尚可，新媒体也有一定热度。</w:t>
            </w:r>
          </w:p>
        </w:tc>
      </w:tr>
    </w:tbl>
    <w:p>
      <w:pPr>
        <w:spacing w:before="120" w:after="120" w:line="288" w:lineRule="auto"/>
        <w:ind w:left="0"/>
        <w:jc w:val="left"/>
      </w:pPr>
      <w:hyperlink r:id="rId13">
        <w:r>
          <w:rPr>
            <w:rFonts w:eastAsia="等线" w:ascii="Arial" w:cs="Arial" w:hAnsi="Arial"/>
            <w:color w:val="3370ff"/>
            <w:sz w:val="22"/>
          </w:rPr>
          <w:t>05:08</w:t>
        </w:r>
      </w:hyperlink>
      <w:r>
        <w:rPr>
          <w:rFonts w:eastAsia="等线" w:ascii="Arial" w:cs="Arial" w:hAnsi="Arial"/>
          <w:b w:val="true"/>
          <w:sz w:val="22"/>
        </w:rPr>
        <w:t xml:space="preserve">  讲解超级符号核心作用及品类命名方法</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周庆一围绕超级符号展开说明，指出其核心作用是降低获客成本、提升品牌溢价，客户实际需求是借超级符号降本，同时点明广告语核心是给出进店的购买理由，还结合案例建议将军瓷砖可参考肯帝亚、简一的思路为高端系列定义新品类。</w:t>
            </w:r>
          </w:p>
        </w:tc>
      </w:tr>
    </w:tbl>
    <w:p>
      <w:pPr>
        <w:spacing w:before="120" w:after="120" w:line="288" w:lineRule="auto"/>
        <w:ind w:left="0"/>
        <w:jc w:val="left"/>
      </w:pPr>
      <w:hyperlink r:id="rId14">
        <w:r>
          <w:rPr>
            <w:rFonts w:eastAsia="等线" w:ascii="Arial" w:cs="Arial" w:hAnsi="Arial"/>
            <w:color w:val="3370ff"/>
            <w:sz w:val="22"/>
          </w:rPr>
          <w:t>09:32</w:t>
        </w:r>
      </w:hyperlink>
      <w:r>
        <w:rPr>
          <w:rFonts w:eastAsia="等线" w:ascii="Arial" w:cs="Arial" w:hAnsi="Arial"/>
          <w:b w:val="true"/>
          <w:sz w:val="22"/>
        </w:rPr>
        <w:t xml:space="preserve">  简一品牌营销核心做法及落地难点探讨</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围绕业内品牌营销表现拔尖的简一案例展开，介绍华与华服务期间的核心动作：确定密缝大理石瓷砖核心定位，打造一字标符号强化品牌溢价，将密缝铺贴的工人交付全流程标准化，让消费者理解工艺价值支撑高定价，同时提及这类重落地项目执行周期长，但能帮品牌找准发力抓手。</w:t>
            </w:r>
          </w:p>
        </w:tc>
      </w:tr>
    </w:tbl>
    <w:p>
      <w:pPr>
        <w:spacing w:before="120" w:after="120" w:line="288" w:lineRule="auto"/>
        <w:ind w:left="0"/>
        <w:jc w:val="left"/>
      </w:pPr>
      <w:hyperlink r:id="rId15">
        <w:r>
          <w:rPr>
            <w:rFonts w:eastAsia="等线" w:ascii="Arial" w:cs="Arial" w:hAnsi="Arial"/>
            <w:color w:val="3370ff"/>
            <w:sz w:val="22"/>
          </w:rPr>
          <w:t>12:11</w:t>
        </w:r>
      </w:hyperlink>
      <w:r>
        <w:rPr>
          <w:rFonts w:eastAsia="等线" w:ascii="Arial" w:cs="Arial" w:hAnsi="Arial"/>
          <w:b w:val="true"/>
          <w:sz w:val="22"/>
        </w:rPr>
        <w:t xml:space="preserve">  将军瓷砖品牌打造及产品营销思路分享</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围绕将军瓷砖的品牌营销相关事项展开沟通，提出三点核心思路，一是放大将军的品牌戏剧性，用好品牌名字优势，二是提炼一句核心价值传播语，定义新品类吸引消费者进店，三是梳理不同定位产品的价值话术，形成统一物料供经销商使用，还提及可借鉴肯帝亚的门店场景化展示方式释放产品价值。</w:t>
            </w:r>
          </w:p>
        </w:tc>
      </w:tr>
    </w:tbl>
    <w:p>
      <w:pPr>
        <w:spacing w:before="120" w:after="120" w:line="288" w:lineRule="auto"/>
        <w:ind w:left="0"/>
        <w:jc w:val="left"/>
      </w:pPr>
      <w:hyperlink r:id="rId16">
        <w:r>
          <w:rPr>
            <w:rFonts w:eastAsia="等线" w:ascii="Arial" w:cs="Arial" w:hAnsi="Arial"/>
            <w:color w:val="3370ff"/>
            <w:sz w:val="22"/>
          </w:rPr>
          <w:t>14:18</w:t>
        </w:r>
      </w:hyperlink>
      <w:r>
        <w:rPr>
          <w:rFonts w:eastAsia="等线" w:ascii="Arial" w:cs="Arial" w:hAnsi="Arial"/>
          <w:b w:val="true"/>
          <w:sz w:val="22"/>
        </w:rPr>
        <w:t xml:space="preserve">  建材行业toB招商需提供盈利解决方案思路</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围绕业务的ToB方向展开讨论，指出当前建材行业下行，招商开拓作为核心ToB动作难度大，明确ToB宣传核心是输出成功案例，本质是为下游客户提供可助力其盈利的场景化解决方案而非仅供给产品，后续将安排1-2小时线上调研深入摸排企业情况，挖掘战略增长点。</w:t>
            </w:r>
          </w:p>
        </w:tc>
      </w:tr>
    </w:tbl>
    <w:p>
      <w:pPr>
        <w:spacing w:before="120" w:after="120" w:line="288" w:lineRule="auto"/>
        <w:ind w:left="0"/>
        <w:jc w:val="left"/>
      </w:pPr>
      <w:hyperlink r:id="rId17">
        <w:r>
          <w:rPr>
            <w:rFonts w:eastAsia="等线" w:ascii="Arial" w:cs="Arial" w:hAnsi="Arial"/>
            <w:color w:val="3370ff"/>
            <w:sz w:val="22"/>
          </w:rPr>
          <w:t>16:28</w:t>
        </w:r>
      </w:hyperlink>
      <w:r>
        <w:rPr>
          <w:rFonts w:eastAsia="等线" w:ascii="Arial" w:cs="Arial" w:hAnsi="Arial"/>
          <w:b w:val="true"/>
          <w:sz w:val="22"/>
        </w:rPr>
        <w:t xml:space="preserve">  讨论剪映项目结果及参会相关事宜</w:t>
      </w:r>
    </w:p>
    <w:tbl>
      <w:tblPr>
        <w:tblW w:w="0" w:type="auto"/>
        <w:tblInd w:w="0" w:type="dxa"/>
        <w:tblBorders>
          <w:top w:val="single"/>
          <w:left w:val="single"/>
          <w:bottom w:val="single"/>
          <w:right w:val="single"/>
          <w:insideH w:val="single"/>
          <w:insideV w:val="single"/>
        </w:tblBorders>
        <w:tblLayout w:type="fixed"/>
      </w:tblPr>
      <w:tblGrid>
        <w:gridCol w:w="8280"/>
      </w:tblGrid>
      <w:tr>
        <w:tc>
          <w:tcPr>
            <w:tcW w:w="8280" w:type="dxa"/>
            <w:tcBorders>
              <w:top w:val="nil"/>
              <w:left w:sz="18" w:val="single" w:color="BBBFC4"/>
              <w:bottom w:val="nil"/>
              <w:right w:val="nil"/>
            </w:tcBorders>
            <w:tcMar>
              <w:top w:type="dxa" w:w="60"/>
              <w:left w:type="dxa" w:w="120"/>
              <w:bottom w:type="dxa" w:w="30"/>
              <w:right w:type="dxa" w:w="120"/>
            </w:tcMar>
          </w:tcPr>
          <w:p>
            <w:pPr>
              <w:spacing w:before="120" w:after="120" w:line="288" w:lineRule="auto"/>
              <w:ind w:left="0"/>
              <w:jc w:val="left"/>
            </w:pPr>
            <w:r>
              <w:rPr>
                <w:rFonts w:eastAsia="等线" w:ascii="Arial" w:cs="Arial" w:hAnsi="Arial"/>
                <w:color w:val="646a73"/>
                <w:sz w:val="22"/>
              </w:rPr>
              <w:t>本章节众人先讨论剪映相关项目，周庆一判定该项目最终失败，认为核心原因是建筑行业随地产衰落的大趋势，叠加行业内大额欠款难以收回的客观影响。众人之后察觉提问者疑似来自剪映、来探口风，随后转场交流面试情况，统计得知当前相关合作或对接主体共有26家。</w:t>
            </w:r>
          </w:p>
        </w:tc>
      </w:tr>
    </w:tbl>
    <w:p>
      <w:pPr>
        <w:spacing w:before="120" w:after="120" w:line="288" w:lineRule="auto"/>
        <w:ind w:left="0"/>
        <w:jc w:val="left"/>
      </w:pPr>
      <w:r>
        <w:rPr>
          <w:rFonts w:eastAsia="等线" w:ascii="Arial" w:cs="Arial" w:hAnsi="Arial"/>
          <w:b w:val="true"/>
          <w:sz w:val="22"/>
          <w:shd w:fill="dee0e3"/>
        </w:rPr>
        <w:t>[该类型的内容暂不支持下载]</w:t>
      </w:r>
    </w:p>
    <w:p>
      <w:pPr>
        <w:spacing w:before="120" w:after="120" w:line="288" w:lineRule="auto"/>
        <w:ind w:left="0"/>
        <w:jc w:val="left"/>
      </w:pPr>
    </w:p>
    <w:p>
      <w:pPr>
        <w:pStyle w:val="1"/>
        <w:spacing w:before="380" w:after="140" w:line="288" w:lineRule="auto"/>
        <w:ind w:left="0"/>
        <w:jc w:val="left"/>
        <w:outlineLvl w:val="0"/>
      </w:pPr>
      <w:bookmarkStart w:name="heading_2" w:id="2"/>
      <w:r>
        <w:rPr>
          <w:rFonts w:eastAsia="等线" w:ascii="Arial" w:cs="Arial" w:hAnsi="Arial"/>
          <w:b w:val="true"/>
          <w:sz w:val="36"/>
        </w:rPr>
        <w:t>关键决策</w:t>
      </w:r>
      <w:bookmarkEnd w:id="2"/>
    </w:p>
    <w:p>
      <w:pPr>
        <w:numPr>
          <w:numId w:val="24"/>
        </w:numPr>
        <w:spacing w:before="120" w:after="120" w:line="288" w:lineRule="auto"/>
        <w:ind w:left="0"/>
        <w:jc w:val="left"/>
      </w:pPr>
      <w:r>
        <w:rPr>
          <w:rFonts w:eastAsia="等线" w:ascii="Arial" w:cs="Arial" w:hAnsi="Arial"/>
          <w:b w:val="true"/>
          <w:sz w:val="22"/>
        </w:rPr>
        <w:t>关键决策</w:t>
      </w:r>
      <w:r>
        <w:rPr>
          <w:rFonts w:eastAsia="等线" w:ascii="Arial" w:cs="Arial" w:hAnsi="Arial"/>
          <w:sz w:val="22"/>
        </w:rPr>
        <w:t>：后续将针对大将军瓷砖开展第一次线上调研，围绕其品牌、产品、渠道等维度做详细深入了解，明确战略增长发力点。</w:t>
      </w:r>
    </w:p>
    <w:p>
      <w:pPr>
        <w:numPr>
          <w:numId w:val="25"/>
        </w:numPr>
        <w:spacing w:before="120" w:after="120" w:line="288" w:lineRule="auto"/>
        <w:ind w:left="453"/>
        <w:jc w:val="left"/>
      </w:pPr>
      <w:r>
        <w:rPr>
          <w:rFonts w:eastAsia="等线" w:ascii="Arial" w:cs="Arial" w:hAnsi="Arial"/>
          <w:b w:val="true"/>
          <w:sz w:val="22"/>
        </w:rPr>
        <w:t>问题</w:t>
      </w:r>
      <w:r>
        <w:rPr>
          <w:rFonts w:eastAsia="等线" w:ascii="Arial" w:cs="Arial" w:hAnsi="Arial"/>
          <w:sz w:val="22"/>
        </w:rPr>
        <w:t>：大将军瓷砖作为家居建材类重决策慢决策品类，现有品牌符号、话语体系效果不佳，同时存在ToB招商难的问题，需明确适配的品牌建设及业务增长方向。</w:t>
      </w:r>
    </w:p>
    <w:p>
      <w:pPr>
        <w:numPr>
          <w:numId w:val="26"/>
        </w:numPr>
        <w:spacing w:before="120" w:after="120" w:line="288" w:lineRule="auto"/>
        <w:ind w:left="453"/>
        <w:jc w:val="left"/>
      </w:pPr>
      <w:r>
        <w:rPr>
          <w:rFonts w:eastAsia="等线" w:ascii="Arial" w:cs="Arial" w:hAnsi="Arial"/>
          <w:b w:val="true"/>
          <w:sz w:val="22"/>
        </w:rPr>
        <w:t>讨论方案</w:t>
      </w:r>
      <w:r>
        <w:rPr>
          <w:rFonts w:eastAsia="等线" w:ascii="Arial" w:cs="Arial" w:hAnsi="Arial"/>
          <w:sz w:val="22"/>
        </w:rPr>
        <w:t>：</w:t>
      </w:r>
    </w:p>
    <w:p>
      <w:pPr>
        <w:numPr>
          <w:numId w:val="27"/>
        </w:numPr>
        <w:spacing w:before="120" w:after="120" w:line="288" w:lineRule="auto"/>
        <w:ind w:left="907"/>
        <w:jc w:val="left"/>
      </w:pPr>
      <w:r>
        <w:rPr>
          <w:rFonts w:eastAsia="等线" w:ascii="Arial" w:cs="Arial" w:hAnsi="Arial"/>
          <w:sz w:val="22"/>
        </w:rPr>
        <w:t>说话人1提出自身认可超级符号方法，但不确定其对家居建材这类重决策慢决策品类是否依然有效，且现有多版品牌话语、符号效果不佳，同时ToB招商是当前业务重要课题。</w:t>
      </w:r>
    </w:p>
    <w:p>
      <w:pPr>
        <w:numPr>
          <w:numId w:val="28"/>
        </w:numPr>
        <w:spacing w:before="120" w:after="120" w:line="288" w:lineRule="auto"/>
        <w:ind w:left="907"/>
        <w:jc w:val="left"/>
      </w:pPr>
      <w:r>
        <w:rPr>
          <w:rFonts w:eastAsia="等线" w:ascii="Arial" w:cs="Arial" w:hAnsi="Arial"/>
          <w:sz w:val="22"/>
        </w:rPr>
        <w:t>周庆一表示超级符号同样适用于高客单价品类，核心作用是降低获客成本、提升品牌溢价，建议大将军放大“将军”品牌名的戏剧性，为核心产品定义新品类、提炼统一购买话术，ToB端需为经销商提供盈利解决方案而非仅提供产品。</w:t>
      </w:r>
    </w:p>
    <w:p>
      <w:pPr>
        <w:numPr>
          <w:numId w:val="29"/>
        </w:numPr>
        <w:spacing w:before="120" w:after="120" w:line="288" w:lineRule="auto"/>
        <w:ind w:left="907"/>
        <w:jc w:val="left"/>
      </w:pPr>
      <w:r>
        <w:rPr>
          <w:rFonts w:eastAsia="等线" w:ascii="Arial" w:cs="Arial" w:hAnsi="Arial"/>
          <w:sz w:val="22"/>
        </w:rPr>
        <w:t>说话人2补充可通过门店场景化动作释放产品价值。</w:t>
      </w:r>
    </w:p>
    <w:p>
      <w:pPr>
        <w:numPr>
          <w:numId w:val="30"/>
        </w:numPr>
        <w:spacing w:before="120" w:after="120" w:line="288" w:lineRule="auto"/>
        <w:ind w:left="453"/>
        <w:jc w:val="left"/>
      </w:pPr>
      <w:r>
        <w:rPr>
          <w:rFonts w:eastAsia="等线" w:ascii="Arial" w:cs="Arial" w:hAnsi="Arial"/>
          <w:b w:val="true"/>
          <w:sz w:val="22"/>
        </w:rPr>
        <w:t>决策依据</w:t>
      </w:r>
      <w:r>
        <w:rPr>
          <w:rFonts w:eastAsia="等线" w:ascii="Arial" w:cs="Arial" w:hAnsi="Arial"/>
          <w:sz w:val="22"/>
        </w:rPr>
        <w:t>：当前对大将军瓷砖的业务情况了解较浅，需通过详细调研才能明确具体的落地优化方向。</w:t>
      </w:r>
    </w:p>
    <w:p>
      <w:pPr>
        <w:pBdr>
          <w:bottom w:val="single" w:color="dee0e3"/>
          <w:between w:val="single" w:color="dee0e3"/>
        </w:pBdr>
        <w:spacing w:before="120" w:after="120" w:line="288" w:lineRule="auto"/>
        <w:ind w:left="0"/>
      </w:pPr>
    </w:p>
    <w:p>
      <w:pPr>
        <w:numPr>
          <w:numId w:val="31"/>
        </w:numPr>
        <w:spacing w:before="120" w:after="120" w:line="288" w:lineRule="auto"/>
        <w:ind w:left="0"/>
        <w:jc w:val="left"/>
      </w:pPr>
      <w:r>
        <w:rPr>
          <w:rFonts w:eastAsia="等线" w:ascii="Arial" w:cs="Arial" w:hAnsi="Arial"/>
          <w:b w:val="true"/>
          <w:sz w:val="22"/>
        </w:rPr>
        <w:t>其他决策</w:t>
      </w:r>
      <w:r>
        <w:rPr>
          <w:rFonts w:eastAsia="等线" w:ascii="Arial" w:cs="Arial" w:hAnsi="Arial"/>
          <w:sz w:val="22"/>
        </w:rPr>
        <w:t>：</w:t>
      </w:r>
    </w:p>
    <w:p>
      <w:pPr>
        <w:numPr>
          <w:numId w:val="32"/>
        </w:numPr>
        <w:spacing w:before="120" w:after="120" w:line="288" w:lineRule="auto"/>
        <w:ind w:left="453"/>
        <w:jc w:val="left"/>
      </w:pPr>
      <w:r>
        <w:rPr>
          <w:rFonts w:eastAsia="等线" w:ascii="Arial" w:cs="Arial" w:hAnsi="Arial"/>
          <w:sz w:val="22"/>
        </w:rPr>
        <w:t>本次参会的意向合作客户目前已新增至 26 家。</w:t>
      </w:r>
    </w:p>
    <w:p>
      <w:pPr>
        <w:spacing w:before="120" w:after="120" w:line="288" w:lineRule="auto"/>
        <w:ind w:left="0"/>
        <w:jc w:val="left"/>
      </w:pPr>
      <w:r>
        <w:rPr>
          <w:rFonts w:eastAsia="等线" w:ascii="Arial" w:cs="Arial" w:hAnsi="Arial"/>
          <w:b w:val="true"/>
          <w:sz w:val="22"/>
          <w:shd w:fill="dee0e3"/>
        </w:rPr>
        <w:t>[该类型的内容暂不支持下载]</w:t>
      </w:r>
    </w:p>
    <w:p>
      <w:pPr>
        <w:spacing w:before="120" w:after="120" w:line="288" w:lineRule="auto"/>
        <w:ind w:left="0"/>
        <w:jc w:val="left"/>
      </w:pPr>
    </w:p>
    <w:p>
      <w:pPr>
        <w:pStyle w:val="1"/>
        <w:spacing w:before="380" w:after="140" w:line="288" w:lineRule="auto"/>
        <w:ind w:left="0"/>
        <w:jc w:val="left"/>
        <w:outlineLvl w:val="0"/>
      </w:pPr>
      <w:bookmarkStart w:name="heading_3" w:id="3"/>
      <w:r>
        <w:rPr>
          <w:rFonts w:eastAsia="等线" w:ascii="Arial" w:cs="Arial" w:hAnsi="Arial"/>
          <w:b w:val="true"/>
          <w:sz w:val="36"/>
        </w:rPr>
        <w:t>金句时刻</w:t>
      </w:r>
      <w:bookmarkEnd w:id="3"/>
    </w:p>
    <w:p>
      <w:pPr>
        <w:spacing w:before="120" w:after="120" w:line="288" w:lineRule="auto"/>
        <w:ind w:left="0"/>
        <w:jc w:val="left"/>
      </w:pPr>
      <w:r>
        <w:rPr>
          <w:rFonts w:eastAsia="等线" w:ascii="Arial" w:cs="Arial" w:hAnsi="Arial"/>
          <w:sz w:val="22"/>
        </w:rPr>
        <w:t>「再讲一个本质，奢侈品的本质就是那个超级符号。」</w:t>
      </w:r>
    </w:p>
    <w:p>
      <w:pPr>
        <w:spacing w:before="120" w:after="120" w:line="288" w:lineRule="auto"/>
        <w:ind w:left="0"/>
        <w:jc w:val="left"/>
      </w:pPr>
      <w:r>
        <w:rPr>
          <w:rFonts w:eastAsia="等线" w:ascii="Arial" w:cs="Arial" w:hAnsi="Arial"/>
          <w:sz w:val="22"/>
        </w:rPr>
        <w:t xml:space="preserve">—— </w:t>
      </w:r>
      <w:r>
        <w:rPr>
          <w:rFonts w:eastAsia="等线" w:ascii="Arial" w:cs="Arial" w:hAnsi="Arial"/>
          <w:sz w:val="22"/>
        </w:rPr>
        <w:t>打破了参会者认为超级符号仅适用于快消品的认知误区，明确了超级符号的适用边界。</w:t>
      </w:r>
    </w:p>
    <w:p>
      <w:pPr>
        <w:spacing w:before="120" w:after="120" w:line="288" w:lineRule="auto"/>
        <w:ind w:left="0"/>
        <w:jc w:val="left"/>
      </w:pPr>
    </w:p>
    <w:p>
      <w:pPr>
        <w:spacing w:before="120" w:after="120" w:line="288" w:lineRule="auto"/>
        <w:ind w:left="0"/>
        <w:jc w:val="left"/>
      </w:pPr>
      <w:r>
        <w:rPr>
          <w:rFonts w:eastAsia="等线" w:ascii="Arial" w:cs="Arial" w:hAnsi="Arial"/>
          <w:sz w:val="22"/>
        </w:rPr>
        <w:t>「其实来的所有的客户，他不是要超级符号，他是要超级符号解决的问题是降低获客成本。」</w:t>
      </w:r>
    </w:p>
    <w:p>
      <w:pPr>
        <w:spacing w:before="120" w:after="120" w:line="288" w:lineRule="auto"/>
        <w:ind w:left="0"/>
        <w:jc w:val="left"/>
      </w:pPr>
      <w:r>
        <w:rPr>
          <w:rFonts w:eastAsia="等线" w:ascii="Arial" w:cs="Arial" w:hAnsi="Arial"/>
          <w:sz w:val="22"/>
        </w:rPr>
        <w:t xml:space="preserve">—— </w:t>
      </w:r>
      <w:r>
        <w:rPr>
          <w:rFonts w:eastAsia="等线" w:ascii="Arial" w:cs="Arial" w:hAnsi="Arial"/>
          <w:sz w:val="22"/>
        </w:rPr>
        <w:t>点出了超级符号的核心价值，为品牌方的符号建设提供了明确的判断标准。</w:t>
      </w:r>
    </w:p>
    <w:p>
      <w:pPr>
        <w:spacing w:before="120" w:after="120" w:line="288" w:lineRule="auto"/>
        <w:ind w:left="0"/>
        <w:jc w:val="left"/>
      </w:pPr>
    </w:p>
    <w:p>
      <w:pPr>
        <w:spacing w:before="120" w:after="120" w:line="288" w:lineRule="auto"/>
        <w:ind w:left="0"/>
        <w:jc w:val="left"/>
      </w:pPr>
      <w:r>
        <w:rPr>
          <w:rFonts w:eastAsia="等线" w:ascii="Arial" w:cs="Arial" w:hAnsi="Arial"/>
          <w:sz w:val="22"/>
        </w:rPr>
        <w:t>「我们 ToB 给他提供的，因为我们做很多 ToB 客户，其实他们抓住一个核心点做产品开发，你要提供是让他挣钱的解决方案，而不是提供他产品。」</w:t>
      </w:r>
    </w:p>
    <w:p>
      <w:pPr>
        <w:spacing w:before="120" w:after="120" w:line="288" w:lineRule="auto"/>
        <w:ind w:left="0"/>
        <w:jc w:val="left"/>
      </w:pPr>
      <w:r>
        <w:rPr>
          <w:rFonts w:eastAsia="等线" w:ascii="Arial" w:cs="Arial" w:hAnsi="Arial"/>
          <w:sz w:val="22"/>
        </w:rPr>
        <w:t xml:space="preserve">—— </w:t>
      </w:r>
      <w:r>
        <w:rPr>
          <w:rFonts w:eastAsia="等线" w:ascii="Arial" w:cs="Arial" w:hAnsi="Arial"/>
          <w:sz w:val="22"/>
        </w:rPr>
        <w:t>精准点明了ToB业务的核心逻辑，为建材类企业的招商工作提供了清晰的方向。</w:t>
      </w:r>
    </w:p>
    <w:p>
      <w:pPr>
        <w:spacing w:before="120" w:after="120" w:line="288" w:lineRule="auto"/>
        <w:ind w:left="0"/>
        <w:jc w:val="left"/>
      </w:pPr>
      <w:r>
        <w:rPr>
          <w:rFonts w:eastAsia="等线" w:ascii="Arial" w:cs="Arial" w:hAnsi="Arial"/>
          <w:b w:val="true"/>
          <w:sz w:val="22"/>
          <w:shd w:fill="dee0e3"/>
        </w:rPr>
        <w:t>[该类型的内容暂不支持下载]</w:t>
      </w:r>
    </w:p>
    <w:p>
      <w:pPr>
        <w:spacing w:before="120" w:after="120" w:line="288" w:lineRule="auto"/>
        <w:ind w:left="0"/>
        <w:jc w:val="left"/>
      </w:pPr>
    </w:p>
    <w:p>
      <w:pPr>
        <w:pStyle w:val="1"/>
        <w:spacing w:before="380" w:after="140" w:line="288" w:lineRule="auto"/>
        <w:ind w:left="0"/>
        <w:jc w:val="left"/>
        <w:outlineLvl w:val="0"/>
      </w:pPr>
      <w:bookmarkStart w:name="heading_4" w:id="4"/>
      <w:r>
        <w:rPr>
          <w:rFonts w:eastAsia="等线" w:ascii="Arial" w:cs="Arial" w:hAnsi="Arial"/>
          <w:b w:val="true"/>
          <w:sz w:val="36"/>
        </w:rPr>
        <w:t>相关链接</w:t>
      </w:r>
      <w:bookmarkEnd w:id="4"/>
    </w:p>
    <w:p>
      <w:pPr>
        <w:numPr>
          <w:numId w:val="33"/>
        </w:numPr>
        <w:spacing w:before="120" w:after="120" w:line="288" w:lineRule="auto"/>
        <w:ind w:left="0"/>
        <w:jc w:val="left"/>
      </w:pPr>
      <w:r>
        <w:rPr>
          <w:rFonts w:eastAsia="等线" w:ascii="Arial" w:cs="Arial" w:hAnsi="Arial"/>
          <w:sz w:val="22"/>
        </w:rPr>
        <w:t>妙记：</w:t>
      </w:r>
      <w:hyperlink r:id="rId18">
        <w:r>
          <w:rPr>
            <w:rFonts w:eastAsia="等线" w:ascii="Arial" w:cs="Arial" w:hAnsi="Arial"/>
            <w:color w:val="3370ff"/>
            <w:sz w:val="22"/>
          </w:rPr>
          <w:t>家居建材品牌营销方案讨论</w:t>
        </w:r>
      </w:hyperlink>
    </w:p>
    <w:p>
      <w:pPr>
        <w:numPr>
          <w:numId w:val="34"/>
        </w:numPr>
        <w:spacing w:before="120" w:after="120" w:line="288" w:lineRule="auto"/>
        <w:ind w:left="0"/>
        <w:jc w:val="left"/>
      </w:pPr>
      <w:r>
        <w:rPr>
          <w:rFonts w:eastAsia="等线" w:ascii="Arial" w:cs="Arial" w:hAnsi="Arial"/>
          <w:sz w:val="22"/>
        </w:rPr>
        <w:t>文字记录</w:t>
      </w:r>
    </w:p>
    <w:p>
      <w:pPr>
        <w:numPr>
          <w:numId w:val="35"/>
        </w:numPr>
        <w:spacing w:before="120" w:after="120" w:line="288" w:lineRule="auto"/>
        <w:ind w:left="453"/>
        <w:jc w:val="left"/>
      </w:pPr>
      <w:hyperlink r:id="rId19">
        <w:r>
          <w:rPr>
            <w:rFonts w:eastAsia="等线" w:ascii="Arial" w:cs="Arial" w:hAnsi="Arial"/>
            <w:color w:val="3370ff"/>
            <w:sz w:val="22"/>
          </w:rPr>
          <w:t>家居建材品牌营销方案讨论 2026年9月21日</w:t>
        </w:r>
      </w:hyperlink>
    </w:p>
    <w:sectPr>
      <w:footerReference w:type="default" r:id="rId3"/>
      <w:headerReference w:type="default" r:id="rId20"/>
      <w:pgSz w:orient="portrait" w:h="16840" w:w="11905"/>
    </w:sectPr>
  </w:body>
</w:document>
</file>

<file path=word/footer1.xml><?xml version="1.0" encoding="utf-8"?>
<w:ftr xmlns:w="http://schemas.openxmlformats.org/wordprocessingml/2006/main">
  <w:p/>
</w:ftr>
</file>

<file path=word/header1.xml><?xml version="1.0" encoding="utf-8"?>
<w:hdr xmlns:w="http://schemas.openxmlformats.org/wordprocessingml/2006/main" xmlns:v="urn:schemas-microsoft-com:vml" xmlns:o="urn:schemas-microsoft-com:office:office" xmlns:w10="urn:schemas-microsoft-com:office:word" xmlns:r="http://schemas.openxmlformats.org/officeDocument/2006/relationships">
  <w:p w:rsidP="" w:rsidRDefault="">
    <w:pPr>
      <w:pStyle w:val="Header"/>
    </w:pPr>
    <w:r>
      <w:rPr>
        <w:noProof/>
      </w:rPr>
      <w:pict>
        <v:shapetype id="_x0000_t75" coordsize="21600,21600" o:spt="75.0" path="m@4@5l@4@11@9@11@9@5xe" stroked="f" filled="f" o:preferrelative="t">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 o:spid="_x0000_s1025" type="#_x0000_t75" o:allowincell="f" style="position:absolute;left:0;text-align:left;margin-left:0;margin-top:0;width:414pt;height:697.5pt;z-index:-251645952;mso-wrap-edited:f;mso-width-percent:0;mso-height-percent:0;mso-position-horizontal:center;mso-position-horizontal-relative:margin;mso-position-vertical:center;mso-position-vertical-relative:margin;mso-width-percent:0;mso-height-percent:0">
          <w10:wrap anchorx="margin" anchory="margin"/>
          <v:imagedata r:id="rId1" o:title="image899"/>
        </v:shape>
      </w:pict>
    </w:r>
  </w:p>
</w:hdr>
</file>

<file path=word/numbering.xml><?xml version="1.0" encoding="utf-8"?>
<w:numbering xmlns:w="http://schemas.openxmlformats.org/wordprocessingml/2006/main">
  <w:abstractNum w:abstractNumId="71323">
    <w:lvl>
      <w:numFmt w:val="bullet"/>
      <w:suff w:val="tab"/>
      <w:lvlText w:val="•"/>
      <w:rPr>
        <w:color w:val="3370ff"/>
      </w:rPr>
    </w:lvl>
  </w:abstractNum>
  <w:abstractNum w:abstractNumId="71324">
    <w:lvl>
      <w:numFmt w:val="bullet"/>
      <w:suff w:val="tab"/>
      <w:lvlText w:val="￮"/>
      <w:rPr>
        <w:color w:val="3370ff"/>
      </w:rPr>
    </w:lvl>
  </w:abstractNum>
  <w:abstractNum w:abstractNumId="71325">
    <w:lvl>
      <w:numFmt w:val="bullet"/>
      <w:suff w:val="tab"/>
      <w:lvlText w:val="▪"/>
      <w:rPr>
        <w:color w:val="3370ff"/>
        <w:sz w:val="11"/>
      </w:rPr>
    </w:lvl>
  </w:abstractNum>
  <w:abstractNum w:abstractNumId="71326">
    <w:lvl>
      <w:numFmt w:val="bullet"/>
      <w:suff w:val="tab"/>
      <w:lvlText w:val="▪"/>
      <w:rPr>
        <w:color w:val="3370ff"/>
        <w:sz w:val="11"/>
      </w:rPr>
    </w:lvl>
  </w:abstractNum>
  <w:abstractNum w:abstractNumId="71327">
    <w:lvl>
      <w:numFmt w:val="bullet"/>
      <w:suff w:val="tab"/>
      <w:lvlText w:val="▪"/>
      <w:rPr>
        <w:color w:val="3370ff"/>
        <w:sz w:val="11"/>
      </w:rPr>
    </w:lvl>
  </w:abstractNum>
  <w:abstractNum w:abstractNumId="71328">
    <w:lvl>
      <w:numFmt w:val="bullet"/>
      <w:suff w:val="tab"/>
      <w:lvlText w:val="▪"/>
      <w:rPr>
        <w:color w:val="3370ff"/>
        <w:sz w:val="11"/>
      </w:rPr>
    </w:lvl>
  </w:abstractNum>
  <w:abstractNum w:abstractNumId="71329">
    <w:lvl>
      <w:numFmt w:val="bullet"/>
      <w:suff w:val="tab"/>
      <w:lvlText w:val="￮"/>
      <w:rPr>
        <w:color w:val="3370ff"/>
      </w:rPr>
    </w:lvl>
  </w:abstractNum>
  <w:abstractNum w:abstractNumId="71330">
    <w:lvl>
      <w:numFmt w:val="bullet"/>
      <w:suff w:val="tab"/>
      <w:lvlText w:val="•"/>
      <w:rPr>
        <w:color w:val="3370ff"/>
      </w:rPr>
    </w:lvl>
  </w:abstractNum>
  <w:abstractNum w:abstractNumId="71331">
    <w:lvl>
      <w:numFmt w:val="bullet"/>
      <w:suff w:val="tab"/>
      <w:lvlText w:val="•"/>
      <w:rPr>
        <w:color w:val="3370ff"/>
      </w:rPr>
    </w:lvl>
  </w:abstractNum>
  <w:abstractNum w:abstractNumId="71332">
    <w:lvl>
      <w:numFmt w:val="bullet"/>
      <w:suff w:val="tab"/>
      <w:lvlText w:val="￮"/>
      <w:rPr>
        <w:color w:val="3370ff"/>
      </w:rPr>
    </w:lvl>
  </w:abstractNum>
  <w:abstractNum w:abstractNumId="71333">
    <w:lvl>
      <w:numFmt w:val="bullet"/>
      <w:suff w:val="tab"/>
      <w:lvlText w:val="￮"/>
      <w:rPr>
        <w:color w:val="3370ff"/>
      </w:rPr>
    </w:lvl>
  </w:abstractNum>
  <w:abstractNum w:abstractNumId="71334">
    <w:lvl>
      <w:numFmt w:val="bullet"/>
      <w:suff w:val="tab"/>
      <w:lvlText w:val="￮"/>
      <w:rPr>
        <w:color w:val="3370ff"/>
      </w:rPr>
    </w:lvl>
  </w:abstractNum>
  <w:abstractNum w:abstractNumId="71335">
    <w:lvl>
      <w:numFmt w:val="bullet"/>
      <w:suff w:val="tab"/>
      <w:lvlText w:val="•"/>
      <w:rPr>
        <w:color w:val="3370ff"/>
      </w:rPr>
    </w:lvl>
  </w:abstractNum>
  <w:abstractNum w:abstractNumId="71336">
    <w:lvl>
      <w:numFmt w:val="bullet"/>
      <w:suff w:val="tab"/>
      <w:lvlText w:val="•"/>
      <w:rPr>
        <w:color w:val="3370ff"/>
      </w:rPr>
    </w:lvl>
  </w:abstractNum>
  <w:abstractNum w:abstractNumId="71337">
    <w:lvl>
      <w:numFmt w:val="bullet"/>
      <w:suff w:val="tab"/>
      <w:lvlText w:val="▪"/>
      <w:rPr>
        <w:color w:val="3370ff"/>
        <w:sz w:val="11"/>
      </w:rPr>
    </w:lvl>
  </w:abstractNum>
  <w:abstractNum w:abstractNumId="71338">
    <w:lvl>
      <w:numFmt w:val="bullet"/>
      <w:suff w:val="tab"/>
      <w:lvlText w:val="•"/>
      <w:rPr>
        <w:color w:val="3370ff"/>
      </w:rPr>
    </w:lvl>
  </w:abstractNum>
  <w:abstractNum w:abstractNumId="71339">
    <w:lvl>
      <w:numFmt w:val="bullet"/>
      <w:suff w:val="tab"/>
      <w:lvlText w:val="￮"/>
      <w:rPr>
        <w:color w:val="3370ff"/>
      </w:rPr>
    </w:lvl>
  </w:abstractNum>
  <w:abstractNum w:abstractNumId="71340">
    <w:lvl>
      <w:numFmt w:val="bullet"/>
      <w:suff w:val="tab"/>
      <w:lvlText w:val="￮"/>
      <w:rPr>
        <w:color w:val="3370ff"/>
      </w:rPr>
    </w:lvl>
  </w:abstractNum>
  <w:abstractNum w:abstractNumId="71341">
    <w:lvl>
      <w:numFmt w:val="bullet"/>
      <w:suff w:val="tab"/>
      <w:lvlText w:val="￮"/>
      <w:rPr>
        <w:color w:val="3370ff"/>
      </w:rPr>
    </w:lvl>
  </w:abstractNum>
  <w:abstractNum w:abstractNumId="71342">
    <w:lvl>
      <w:numFmt w:val="bullet"/>
      <w:suff w:val="tab"/>
      <w:lvlText w:val="￮"/>
      <w:rPr>
        <w:color w:val="3370ff"/>
      </w:rPr>
    </w:lvl>
  </w:abstractNum>
  <w:abstractNum w:abstractNumId="71343">
    <w:lvl>
      <w:numFmt w:val="bullet"/>
      <w:suff w:val="tab"/>
      <w:lvlText w:val="•"/>
      <w:rPr>
        <w:color w:val="3370ff"/>
      </w:rPr>
    </w:lvl>
  </w:abstractNum>
  <w:abstractNum w:abstractNumId="71344">
    <w:lvl>
      <w:numFmt w:val="bullet"/>
      <w:suff w:val="tab"/>
      <w:lvlText w:val="￮"/>
      <w:rPr>
        <w:color w:val="3370ff"/>
      </w:rPr>
    </w:lvl>
  </w:abstractNum>
  <w:abstractNum w:abstractNumId="71345">
    <w:lvl>
      <w:numFmt w:val="bullet"/>
      <w:suff w:val="tab"/>
      <w:lvlText w:val="￮"/>
      <w:rPr>
        <w:color w:val="3370ff"/>
      </w:rPr>
    </w:lvl>
  </w:abstractNum>
  <w:abstractNum w:abstractNumId="71346">
    <w:lvl>
      <w:numFmt w:val="bullet"/>
      <w:suff w:val="tab"/>
      <w:lvlText w:val="•"/>
      <w:rPr>
        <w:color w:val="3370ff"/>
      </w:rPr>
    </w:lvl>
  </w:abstractNum>
  <w:abstractNum w:abstractNumId="71347">
    <w:lvl>
      <w:numFmt w:val="bullet"/>
      <w:suff w:val="tab"/>
      <w:lvlText w:val="￮"/>
      <w:rPr>
        <w:color w:val="3370ff"/>
      </w:rPr>
    </w:lvl>
  </w:abstractNum>
  <w:abstractNum w:abstractNumId="71348">
    <w:lvl>
      <w:numFmt w:val="bullet"/>
      <w:suff w:val="tab"/>
      <w:lvlText w:val="￮"/>
      <w:rPr>
        <w:color w:val="3370ff"/>
      </w:rPr>
    </w:lvl>
  </w:abstractNum>
  <w:abstractNum w:abstractNumId="71349">
    <w:lvl>
      <w:numFmt w:val="bullet"/>
      <w:suff w:val="tab"/>
      <w:lvlText w:val="▪"/>
      <w:rPr>
        <w:color w:val="3370ff"/>
        <w:sz w:val="11"/>
      </w:rPr>
    </w:lvl>
  </w:abstractNum>
  <w:abstractNum w:abstractNumId="71350">
    <w:lvl>
      <w:numFmt w:val="bullet"/>
      <w:suff w:val="tab"/>
      <w:lvlText w:val="▪"/>
      <w:rPr>
        <w:color w:val="3370ff"/>
        <w:sz w:val="11"/>
      </w:rPr>
    </w:lvl>
  </w:abstractNum>
  <w:abstractNum w:abstractNumId="71351">
    <w:lvl>
      <w:numFmt w:val="bullet"/>
      <w:suff w:val="tab"/>
      <w:lvlText w:val="▪"/>
      <w:rPr>
        <w:color w:val="3370ff"/>
        <w:sz w:val="11"/>
      </w:rPr>
    </w:lvl>
  </w:abstractNum>
  <w:abstractNum w:abstractNumId="71352">
    <w:lvl>
      <w:numFmt w:val="bullet"/>
      <w:suff w:val="tab"/>
      <w:lvlText w:val="￮"/>
      <w:rPr>
        <w:color w:val="3370ff"/>
      </w:rPr>
    </w:lvl>
  </w:abstractNum>
  <w:abstractNum w:abstractNumId="71353">
    <w:lvl>
      <w:numFmt w:val="bullet"/>
      <w:suff w:val="tab"/>
      <w:lvlText w:val="•"/>
      <w:rPr>
        <w:color w:val="3370ff"/>
      </w:rPr>
    </w:lvl>
  </w:abstractNum>
  <w:abstractNum w:abstractNumId="71354">
    <w:lvl>
      <w:start w:val="1"/>
      <w:numFmt w:val="lowerLetter"/>
      <w:suff w:val="tab"/>
      <w:lvlText w:val="%1."/>
      <w:rPr>
        <w:color w:val="3370ff"/>
      </w:rPr>
    </w:lvl>
  </w:abstractNum>
  <w:abstractNum w:abstractNumId="71355">
    <w:lvl>
      <w:numFmt w:val="bullet"/>
      <w:suff w:val="tab"/>
      <w:lvlText w:val="•"/>
      <w:rPr>
        <w:color w:val="3370ff"/>
      </w:rPr>
    </w:lvl>
  </w:abstractNum>
  <w:abstractNum w:abstractNumId="71356">
    <w:lvl>
      <w:numFmt w:val="bullet"/>
      <w:suff w:val="tab"/>
      <w:lvlText w:val="•"/>
      <w:rPr>
        <w:color w:val="3370ff"/>
      </w:rPr>
    </w:lvl>
  </w:abstractNum>
  <w:abstractNum w:abstractNumId="71357">
    <w:lvl>
      <w:numFmt w:val="bullet"/>
      <w:suff w:val="tab"/>
      <w:lvlText w:val="￮"/>
      <w:rPr>
        <w:color w:val="3370ff"/>
      </w:rPr>
    </w:lvl>
  </w:abstractNum>
  <w:num w:numId="1">
    <w:abstractNumId w:val="71323"/>
  </w:num>
  <w:num w:numId="2">
    <w:abstractNumId w:val="71324"/>
  </w:num>
  <w:num w:numId="3">
    <w:abstractNumId w:val="71325"/>
  </w:num>
  <w:num w:numId="4">
    <w:abstractNumId w:val="71326"/>
  </w:num>
  <w:num w:numId="5">
    <w:abstractNumId w:val="71327"/>
  </w:num>
  <w:num w:numId="6">
    <w:abstractNumId w:val="71328"/>
  </w:num>
  <w:num w:numId="7">
    <w:abstractNumId w:val="71329"/>
  </w:num>
  <w:num w:numId="8">
    <w:abstractNumId w:val="71330"/>
  </w:num>
  <w:num w:numId="9">
    <w:abstractNumId w:val="71331"/>
  </w:num>
  <w:num w:numId="10">
    <w:abstractNumId w:val="71332"/>
  </w:num>
  <w:num w:numId="11">
    <w:abstractNumId w:val="71333"/>
  </w:num>
  <w:num w:numId="12">
    <w:abstractNumId w:val="71334"/>
  </w:num>
  <w:num w:numId="13">
    <w:abstractNumId w:val="71335"/>
  </w:num>
  <w:num w:numId="14">
    <w:abstractNumId w:val="71336"/>
  </w:num>
  <w:num w:numId="15">
    <w:abstractNumId w:val="71337"/>
  </w:num>
  <w:num w:numId="16">
    <w:abstractNumId w:val="71338"/>
  </w:num>
  <w:num w:numId="17">
    <w:abstractNumId w:val="71339"/>
  </w:num>
  <w:num w:numId="18">
    <w:abstractNumId w:val="71340"/>
  </w:num>
  <w:num w:numId="19">
    <w:abstractNumId w:val="71341"/>
  </w:num>
  <w:num w:numId="20">
    <w:abstractNumId w:val="71342"/>
  </w:num>
  <w:num w:numId="21">
    <w:abstractNumId w:val="71343"/>
  </w:num>
  <w:num w:numId="22">
    <w:abstractNumId w:val="71344"/>
  </w:num>
  <w:num w:numId="23">
    <w:abstractNumId w:val="71345"/>
  </w:num>
  <w:num w:numId="24">
    <w:abstractNumId w:val="71346"/>
  </w:num>
  <w:num w:numId="25">
    <w:abstractNumId w:val="71347"/>
  </w:num>
  <w:num w:numId="26">
    <w:abstractNumId w:val="71348"/>
  </w:num>
  <w:num w:numId="27">
    <w:abstractNumId w:val="71349"/>
  </w:num>
  <w:num w:numId="28">
    <w:abstractNumId w:val="71350"/>
  </w:num>
  <w:num w:numId="29">
    <w:abstractNumId w:val="71351"/>
  </w:num>
  <w:num w:numId="30">
    <w:abstractNumId w:val="71352"/>
  </w:num>
  <w:num w:numId="31">
    <w:abstractNumId w:val="71353"/>
  </w:num>
  <w:num w:numId="32">
    <w:abstractNumId w:val="71354"/>
  </w:num>
  <w:num w:numId="33">
    <w:abstractNumId w:val="71355"/>
  </w:num>
  <w:num w:numId="34">
    <w:abstractNumId w:val="71356"/>
  </w:num>
  <w:num w:numId="35">
    <w:abstractNumId w:val="71357"/>
  </w:num>
</w:numbering>
</file>

<file path=word/settings.xml><?xml version="1.0" encoding="utf-8"?>
<w:settings xmlns:w="http://schemas.openxmlformats.org/wordprocessingml/2006/main"/>
</file>

<file path=word/styles.xml><?xml version="1.0" encoding="utf-8"?>
<w:style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10" Target="https://dwc5tr3ehey.feishu.cn/minutes/obcn6d5435tp25nw4qhao142?t=118000" TargetMode="External" Type="http://schemas.openxmlformats.org/officeDocument/2006/relationships/hyperlink"/><Relationship Id="rId11" Target="https://dwc5tr3ehey.feishu.cn/minutes/obcn6d5435tp25nw4qhao142?t=173000" TargetMode="External" Type="http://schemas.openxmlformats.org/officeDocument/2006/relationships/hyperlink"/><Relationship Id="rId12" Target="https://dwc5tr3ehey.feishu.cn/minutes/obcn6d5435tp25nw4qhao142?t=216000" TargetMode="External" Type="http://schemas.openxmlformats.org/officeDocument/2006/relationships/hyperlink"/><Relationship Id="rId13" Target="https://dwc5tr3ehey.feishu.cn/minutes/obcn6d5435tp25nw4qhao142?t=308000" TargetMode="External" Type="http://schemas.openxmlformats.org/officeDocument/2006/relationships/hyperlink"/><Relationship Id="rId14" Target="https://dwc5tr3ehey.feishu.cn/minutes/obcn6d5435tp25nw4qhao142?t=572000" TargetMode="External" Type="http://schemas.openxmlformats.org/officeDocument/2006/relationships/hyperlink"/><Relationship Id="rId15" Target="https://dwc5tr3ehey.feishu.cn/minutes/obcn6d5435tp25nw4qhao142?t=731000" TargetMode="External" Type="http://schemas.openxmlformats.org/officeDocument/2006/relationships/hyperlink"/><Relationship Id="rId16" Target="https://dwc5tr3ehey.feishu.cn/minutes/obcn6d5435tp25nw4qhao142?t=858000" TargetMode="External" Type="http://schemas.openxmlformats.org/officeDocument/2006/relationships/hyperlink"/><Relationship Id="rId17" Target="https://dwc5tr3ehey.feishu.cn/minutes/obcn6d5435tp25nw4qhao142?t=988000" TargetMode="External" Type="http://schemas.openxmlformats.org/officeDocument/2006/relationships/hyperlink"/><Relationship Id="rId18" Target="https://dwc5tr3ehey.feishu.cn/minutes/obcn6d5435tp25nw4qhao142?from=ai_minutes" TargetMode="External" Type="http://schemas.openxmlformats.org/officeDocument/2006/relationships/hyperlink"/><Relationship Id="rId19" Target="https://dwc5tr3ehey.feishu.cn/docx/OUg6dTVUIofKapxspCxc9IJHn6f" TargetMode="External" Type="http://schemas.openxmlformats.org/officeDocument/2006/relationships/hyperlink"/><Relationship Id="rId2" Target="styles.xml" Type="http://schemas.openxmlformats.org/officeDocument/2006/relationships/styles"/><Relationship Id="rId20" Target="header1.xml" Type="http://schemas.openxmlformats.org/officeDocument/2006/relationships/header"/><Relationship Id="rId3" Target="footer1.xml" Type="http://schemas.openxmlformats.org/officeDocument/2006/relationships/footer"/><Relationship Id="rId4" Target="media/image1.jpeg" Type="http://schemas.openxmlformats.org/officeDocument/2006/relationships/image"/><Relationship Id="rId5" Target="numbering.xml" Type="http://schemas.openxmlformats.org/officeDocument/2006/relationships/numbering"/><Relationship Id="rId6" Target="media/image2.png" Type="http://schemas.openxmlformats.org/officeDocument/2006/relationships/image"/><Relationship Id="rId7" Target="media/image3.png" Type="http://schemas.openxmlformats.org/officeDocument/2006/relationships/image"/><Relationship Id="rId8" Target="media/image4.png" Type="http://schemas.openxmlformats.org/officeDocument/2006/relationships/image"/><Relationship Id="rId9" Target="https://dwc5tr3ehey.feishu.cn/minutes/obcn6d5435tp25nw4qhao142?t=0" TargetMode="External" Type="http://schemas.openxmlformats.org/officeDocument/2006/relationships/hyperlink"/></Relationships>
</file>

<file path=word/_rels/header1.xml.rels><?xml version="1.0" encoding="UTF-8" standalone="yes"?><Relationships xmlns="http://schemas.openxmlformats.org/package/2006/relationships"><Relationship Id="rId1" Target="media/image5.png" Type="http://schemas.openxmlformats.org/officeDocument/2006/relationships/image"/></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2026-09-24T03:59:10Z</dcterms:created>
  <dc:creator>Apache POI</dc:creator>
</cp:coreProperties>
</file>